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79B4F" w14:textId="3E63B88C" w:rsidR="008B6535" w:rsidRDefault="008B6535" w:rsidP="00B86144">
      <w:pPr>
        <w:pStyle w:val="Heading1"/>
        <w:numPr>
          <w:ilvl w:val="0"/>
          <w:numId w:val="0"/>
        </w:numPr>
        <w:spacing w:before="120"/>
        <w:ind w:left="432" w:hanging="432"/>
        <w:jc w:val="center"/>
      </w:pPr>
      <w:r>
        <w:rPr>
          <w:noProof/>
          <w:lang w:eastAsia="en-GB"/>
        </w:rPr>
        <w:drawing>
          <wp:inline distT="0" distB="0" distL="0" distR="0" wp14:anchorId="12ABBAB7" wp14:editId="504FFEF7">
            <wp:extent cx="1467485" cy="1438275"/>
            <wp:effectExtent l="0" t="0" r="0" b="9525"/>
            <wp:docPr id="1" name="Picture 1" descr="Circular logo of Hampshire &amp; Isle of Wight Constabulary featuring a crown above a red rose surrounded by blue laurel leaves. Text encircles the emblem, indicating the police force's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ircular logo of Hampshire &amp; Isle of Wight Constabulary featuring a crown above a red rose surrounded by blue laurel leaves. Text encircles the emblem, indicating the police force's name."/>
                    <pic:cNvPicPr/>
                  </pic:nvPicPr>
                  <pic:blipFill>
                    <a:blip r:embed="rId12">
                      <a:extLst>
                        <a:ext uri="{28A0092B-C50C-407E-A947-70E740481C1C}">
                          <a14:useLocalDpi xmlns:a14="http://schemas.microsoft.com/office/drawing/2010/main" val="0"/>
                        </a:ext>
                      </a:extLst>
                    </a:blip>
                    <a:stretch>
                      <a:fillRect/>
                    </a:stretch>
                  </pic:blipFill>
                  <pic:spPr>
                    <a:xfrm>
                      <a:off x="0" y="0"/>
                      <a:ext cx="1467485" cy="1438275"/>
                    </a:xfrm>
                    <a:prstGeom prst="rect">
                      <a:avLst/>
                    </a:prstGeom>
                  </pic:spPr>
                </pic:pic>
              </a:graphicData>
            </a:graphic>
          </wp:inline>
        </w:drawing>
      </w:r>
      <w:permStart w:id="82388980" w:edGrp="everyone"/>
      <w:permEnd w:id="82388980"/>
    </w:p>
    <w:p w14:paraId="7ECFFB22" w14:textId="18B60D44" w:rsidR="009D6E53" w:rsidRDefault="55ADA1F8" w:rsidP="00B86144">
      <w:pPr>
        <w:pStyle w:val="Heading1"/>
        <w:numPr>
          <w:ilvl w:val="0"/>
          <w:numId w:val="0"/>
        </w:numPr>
        <w:spacing w:before="120"/>
        <w:ind w:left="432" w:hanging="432"/>
        <w:jc w:val="center"/>
      </w:pPr>
      <w:r>
        <w:t xml:space="preserve">Hampshire &amp; Isle </w:t>
      </w:r>
      <w:r w:rsidR="006F52F1">
        <w:t>o</w:t>
      </w:r>
      <w:r>
        <w:t xml:space="preserve">f Wight Constabulary Legal Mandate for Live Facial Recognition </w:t>
      </w:r>
    </w:p>
    <w:p w14:paraId="2172A94C" w14:textId="77777777" w:rsidR="00B86144" w:rsidRPr="00B86144" w:rsidRDefault="00B86144" w:rsidP="00B86144">
      <w:pPr>
        <w:pStyle w:val="Heading1"/>
        <w:numPr>
          <w:ilvl w:val="0"/>
          <w:numId w:val="0"/>
        </w:numPr>
        <w:spacing w:before="120"/>
        <w:ind w:left="432" w:hanging="432"/>
        <w:jc w:val="center"/>
      </w:pPr>
    </w:p>
    <w:tbl>
      <w:tblPr>
        <w:tblStyle w:val="TableGrid1"/>
        <w:tblW w:w="9016" w:type="dxa"/>
        <w:tblLook w:val="04A0" w:firstRow="1" w:lastRow="0" w:firstColumn="1" w:lastColumn="0" w:noHBand="0" w:noVBand="1"/>
      </w:tblPr>
      <w:tblGrid>
        <w:gridCol w:w="2115"/>
        <w:gridCol w:w="6901"/>
      </w:tblGrid>
      <w:tr w:rsidR="00A6595D" w:rsidRPr="0051498B" w14:paraId="15FCB2FA" w14:textId="77777777" w:rsidTr="108AB05C">
        <w:tc>
          <w:tcPr>
            <w:tcW w:w="2115" w:type="dxa"/>
          </w:tcPr>
          <w:p w14:paraId="3014BC99" w14:textId="21C9B525" w:rsidR="00A6595D" w:rsidRPr="006D2491" w:rsidRDefault="009D6E53" w:rsidP="00A6595D">
            <w:pPr>
              <w:rPr>
                <w:rFonts w:ascii="Calibri" w:eastAsia="Calibri" w:hAnsi="Calibri" w:cs="Times New Roman"/>
                <w:sz w:val="24"/>
                <w:szCs w:val="24"/>
              </w:rPr>
            </w:pPr>
            <w:r w:rsidRPr="006D2491">
              <w:rPr>
                <w:rFonts w:ascii="Calibri" w:eastAsia="Calibri" w:hAnsi="Calibri" w:cs="Times New Roman"/>
                <w:sz w:val="24"/>
                <w:szCs w:val="24"/>
              </w:rPr>
              <w:t>N</w:t>
            </w:r>
            <w:r w:rsidR="00A6595D" w:rsidRPr="006D2491">
              <w:rPr>
                <w:rFonts w:ascii="Calibri" w:eastAsia="Calibri" w:hAnsi="Calibri" w:cs="Times New Roman"/>
                <w:sz w:val="24"/>
                <w:szCs w:val="24"/>
              </w:rPr>
              <w:t>ame of Force</w:t>
            </w:r>
          </w:p>
        </w:tc>
        <w:tc>
          <w:tcPr>
            <w:tcW w:w="6901" w:type="dxa"/>
          </w:tcPr>
          <w:p w14:paraId="2693FA79" w14:textId="5E7DAD53" w:rsidR="00A6595D" w:rsidRPr="006D2491" w:rsidRDefault="00DA1E86" w:rsidP="00A6595D">
            <w:pPr>
              <w:rPr>
                <w:rFonts w:ascii="Calibri" w:eastAsia="Calibri" w:hAnsi="Calibri" w:cs="Times New Roman"/>
                <w:sz w:val="24"/>
                <w:szCs w:val="24"/>
              </w:rPr>
            </w:pPr>
            <w:r>
              <w:rPr>
                <w:rFonts w:ascii="Calibri" w:eastAsia="Calibri" w:hAnsi="Calibri" w:cs="Times New Roman"/>
                <w:sz w:val="24"/>
                <w:szCs w:val="24"/>
              </w:rPr>
              <w:t>Hampshire &amp; Isle of Wight</w:t>
            </w:r>
            <w:r w:rsidR="00B201F4">
              <w:rPr>
                <w:rFonts w:ascii="Calibri" w:eastAsia="Calibri" w:hAnsi="Calibri" w:cs="Times New Roman"/>
                <w:sz w:val="24"/>
                <w:szCs w:val="24"/>
              </w:rPr>
              <w:t xml:space="preserve"> Constabulary</w:t>
            </w:r>
            <w:r>
              <w:rPr>
                <w:rFonts w:ascii="Calibri" w:eastAsia="Calibri" w:hAnsi="Calibri" w:cs="Times New Roman"/>
                <w:sz w:val="24"/>
                <w:szCs w:val="24"/>
              </w:rPr>
              <w:t xml:space="preserve"> (HIOWC)</w:t>
            </w:r>
          </w:p>
        </w:tc>
      </w:tr>
      <w:tr w:rsidR="00A6595D" w:rsidRPr="0051498B" w14:paraId="575077FE" w14:textId="77777777" w:rsidTr="108AB05C">
        <w:tc>
          <w:tcPr>
            <w:tcW w:w="2115" w:type="dxa"/>
          </w:tcPr>
          <w:p w14:paraId="1A6ACB15" w14:textId="6634AEFE" w:rsidR="00A6595D" w:rsidRPr="006D2491" w:rsidRDefault="00A6595D" w:rsidP="00A6595D">
            <w:pPr>
              <w:rPr>
                <w:rFonts w:ascii="Calibri" w:eastAsia="Calibri" w:hAnsi="Calibri" w:cs="Times New Roman"/>
                <w:sz w:val="24"/>
                <w:szCs w:val="24"/>
              </w:rPr>
            </w:pPr>
            <w:r w:rsidRPr="006D2491">
              <w:rPr>
                <w:rFonts w:ascii="Calibri" w:eastAsia="Calibri" w:hAnsi="Calibri" w:cs="Times New Roman"/>
                <w:sz w:val="24"/>
                <w:szCs w:val="24"/>
              </w:rPr>
              <w:t>Subject</w:t>
            </w:r>
          </w:p>
        </w:tc>
        <w:tc>
          <w:tcPr>
            <w:tcW w:w="6901" w:type="dxa"/>
          </w:tcPr>
          <w:p w14:paraId="0DFDA931" w14:textId="643BD908" w:rsidR="00A6595D" w:rsidRPr="006D2491" w:rsidRDefault="1597EA6C" w:rsidP="00A6595D">
            <w:pPr>
              <w:rPr>
                <w:rFonts w:ascii="Calibri" w:eastAsia="Calibri" w:hAnsi="Calibri" w:cs="Times New Roman"/>
                <w:sz w:val="24"/>
                <w:szCs w:val="24"/>
              </w:rPr>
            </w:pPr>
            <w:r w:rsidRPr="108AB05C">
              <w:rPr>
                <w:rFonts w:ascii="Calibri" w:eastAsia="Calibri" w:hAnsi="Calibri" w:cs="Times New Roman"/>
                <w:sz w:val="24"/>
                <w:szCs w:val="24"/>
              </w:rPr>
              <w:t>Live Facial Recognition</w:t>
            </w:r>
            <w:r w:rsidR="57D790CA" w:rsidRPr="108AB05C">
              <w:rPr>
                <w:rFonts w:ascii="Calibri" w:eastAsia="Calibri" w:hAnsi="Calibri" w:cs="Times New Roman"/>
                <w:sz w:val="24"/>
                <w:szCs w:val="24"/>
              </w:rPr>
              <w:t xml:space="preserve"> (LFR)</w:t>
            </w:r>
            <w:r w:rsidR="1F796717" w:rsidRPr="108AB05C">
              <w:rPr>
                <w:rFonts w:ascii="Calibri" w:eastAsia="Calibri" w:hAnsi="Calibri" w:cs="Times New Roman"/>
                <w:sz w:val="24"/>
                <w:szCs w:val="24"/>
              </w:rPr>
              <w:t xml:space="preserve"> - Version 3.0</w:t>
            </w:r>
          </w:p>
        </w:tc>
      </w:tr>
      <w:tr w:rsidR="00064CEC" w:rsidRPr="0051498B" w14:paraId="526BDC49" w14:textId="77777777" w:rsidTr="108AB05C">
        <w:tc>
          <w:tcPr>
            <w:tcW w:w="2115" w:type="dxa"/>
          </w:tcPr>
          <w:p w14:paraId="108DEF55" w14:textId="27CFD3B5" w:rsidR="00064CEC" w:rsidRPr="006D2491" w:rsidRDefault="00064CEC" w:rsidP="00A6595D">
            <w:pPr>
              <w:rPr>
                <w:rFonts w:ascii="Calibri" w:eastAsia="Calibri" w:hAnsi="Calibri" w:cs="Times New Roman"/>
                <w:sz w:val="24"/>
                <w:szCs w:val="24"/>
              </w:rPr>
            </w:pPr>
            <w:r w:rsidRPr="006D2491">
              <w:rPr>
                <w:rFonts w:ascii="Calibri" w:eastAsia="Calibri" w:hAnsi="Calibri" w:cs="Times New Roman"/>
                <w:sz w:val="24"/>
                <w:szCs w:val="24"/>
              </w:rPr>
              <w:t>Summary</w:t>
            </w:r>
          </w:p>
        </w:tc>
        <w:tc>
          <w:tcPr>
            <w:tcW w:w="6901" w:type="dxa"/>
          </w:tcPr>
          <w:p w14:paraId="302339C4" w14:textId="1109B978" w:rsidR="00064CEC" w:rsidRPr="006D2491" w:rsidRDefault="1336D8D8" w:rsidP="00F749CD">
            <w:pPr>
              <w:rPr>
                <w:rFonts w:ascii="Calibri" w:eastAsia="Calibri" w:hAnsi="Calibri" w:cs="Times New Roman"/>
                <w:sz w:val="24"/>
                <w:szCs w:val="24"/>
              </w:rPr>
            </w:pPr>
            <w:r w:rsidRPr="108AB05C">
              <w:rPr>
                <w:rFonts w:ascii="Calibri" w:eastAsia="Calibri" w:hAnsi="Calibri" w:cs="Times New Roman"/>
                <w:sz w:val="24"/>
                <w:szCs w:val="24"/>
              </w:rPr>
              <w:t xml:space="preserve">Outlines the legal basis for </w:t>
            </w:r>
            <w:r w:rsidR="00DA1E86" w:rsidRPr="108AB05C">
              <w:rPr>
                <w:rFonts w:ascii="Calibri" w:eastAsia="Calibri" w:hAnsi="Calibri" w:cs="Times New Roman"/>
                <w:sz w:val="24"/>
                <w:szCs w:val="24"/>
              </w:rPr>
              <w:t>HIOWC</w:t>
            </w:r>
            <w:r w:rsidRPr="108AB05C">
              <w:rPr>
                <w:rFonts w:ascii="Calibri" w:eastAsia="Calibri" w:hAnsi="Calibri" w:cs="Times New Roman"/>
                <w:sz w:val="24"/>
                <w:szCs w:val="24"/>
              </w:rPr>
              <w:t>’s use of overt LFR technology to locate persons on a</w:t>
            </w:r>
            <w:r w:rsidR="6013F2E1" w:rsidRPr="108AB05C">
              <w:rPr>
                <w:rFonts w:ascii="Calibri" w:eastAsia="Calibri" w:hAnsi="Calibri" w:cs="Times New Roman"/>
                <w:sz w:val="24"/>
                <w:szCs w:val="24"/>
              </w:rPr>
              <w:t>n</w:t>
            </w:r>
            <w:r w:rsidR="5B659C31" w:rsidRPr="108AB05C">
              <w:rPr>
                <w:rFonts w:ascii="Calibri" w:eastAsia="Calibri" w:hAnsi="Calibri" w:cs="Times New Roman"/>
                <w:sz w:val="24"/>
                <w:szCs w:val="24"/>
              </w:rPr>
              <w:t xml:space="preserve"> approved</w:t>
            </w:r>
            <w:r w:rsidRPr="108AB05C">
              <w:rPr>
                <w:rFonts w:ascii="Calibri" w:eastAsia="Calibri" w:hAnsi="Calibri" w:cs="Times New Roman"/>
                <w:sz w:val="24"/>
                <w:szCs w:val="24"/>
              </w:rPr>
              <w:t xml:space="preserve"> </w:t>
            </w:r>
            <w:r w:rsidR="5B659C31" w:rsidRPr="108AB05C">
              <w:rPr>
                <w:rFonts w:ascii="Calibri" w:eastAsia="Calibri" w:hAnsi="Calibri" w:cs="Times New Roman"/>
                <w:sz w:val="24"/>
                <w:szCs w:val="24"/>
              </w:rPr>
              <w:t>w</w:t>
            </w:r>
            <w:r w:rsidRPr="108AB05C">
              <w:rPr>
                <w:rFonts w:ascii="Calibri" w:eastAsia="Calibri" w:hAnsi="Calibri" w:cs="Times New Roman"/>
                <w:sz w:val="24"/>
                <w:szCs w:val="24"/>
              </w:rPr>
              <w:t>atchlist</w:t>
            </w:r>
            <w:r w:rsidR="5B659C31" w:rsidRPr="108AB05C">
              <w:rPr>
                <w:rFonts w:ascii="Calibri" w:eastAsia="Calibri" w:hAnsi="Calibri" w:cs="Times New Roman"/>
                <w:sz w:val="24"/>
                <w:szCs w:val="24"/>
              </w:rPr>
              <w:t>/s</w:t>
            </w:r>
          </w:p>
        </w:tc>
      </w:tr>
    </w:tbl>
    <w:p w14:paraId="454330AB" w14:textId="738151F2" w:rsidR="00A6595D" w:rsidRPr="006D2491" w:rsidRDefault="00A6595D" w:rsidP="00A6595D">
      <w:pPr>
        <w:rPr>
          <w:rFonts w:ascii="Calibri" w:eastAsia="Calibri" w:hAnsi="Calibri" w:cs="Times New Roman"/>
          <w:sz w:val="24"/>
          <w:szCs w:val="24"/>
        </w:rPr>
      </w:pPr>
    </w:p>
    <w:p w14:paraId="7B753522" w14:textId="7E40CB35" w:rsidR="7F696885" w:rsidRDefault="7F696885" w:rsidP="41AFCF1A"/>
    <w:p w14:paraId="6BA50003" w14:textId="77777777" w:rsidR="009C543E" w:rsidRPr="008C3C56" w:rsidRDefault="009C543E" w:rsidP="009C543E">
      <w:pPr>
        <w:pStyle w:val="LFRHeading2"/>
      </w:pPr>
      <w:r w:rsidRPr="008C3C56">
        <w:t>Change control:</w:t>
      </w:r>
    </w:p>
    <w:tbl>
      <w:tblPr>
        <w:tblpPr w:leftFromText="180" w:rightFromText="180" w:vertAnchor="text" w:horzAnchor="margin" w:tblpY="69"/>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417"/>
        <w:gridCol w:w="1418"/>
        <w:gridCol w:w="2409"/>
        <w:gridCol w:w="2835"/>
      </w:tblGrid>
      <w:tr w:rsidR="009C543E" w:rsidRPr="008C3C56" w14:paraId="37CE99E7" w14:textId="77777777" w:rsidTr="00875F65">
        <w:trPr>
          <w:trHeight w:val="234"/>
        </w:trPr>
        <w:tc>
          <w:tcPr>
            <w:tcW w:w="988" w:type="dxa"/>
            <w:shd w:val="clear" w:color="auto" w:fill="002465"/>
            <w:hideMark/>
          </w:tcPr>
          <w:p w14:paraId="33FE75EA" w14:textId="77777777" w:rsidR="009C543E" w:rsidRPr="00FC5F23" w:rsidRDefault="009C543E" w:rsidP="00D07CB8">
            <w:pPr>
              <w:rPr>
                <w:rFonts w:cstheme="minorHAnsi"/>
                <w:b/>
                <w:color w:val="FFFFFF" w:themeColor="background1"/>
              </w:rPr>
            </w:pPr>
            <w:r w:rsidRPr="00FC5F23">
              <w:rPr>
                <w:rFonts w:cstheme="minorHAnsi"/>
                <w:b/>
                <w:color w:val="FFFFFF" w:themeColor="background1"/>
              </w:rPr>
              <w:t>Version</w:t>
            </w:r>
          </w:p>
        </w:tc>
        <w:tc>
          <w:tcPr>
            <w:tcW w:w="1417" w:type="dxa"/>
            <w:shd w:val="clear" w:color="auto" w:fill="002465"/>
            <w:hideMark/>
          </w:tcPr>
          <w:p w14:paraId="43FE718B" w14:textId="77777777" w:rsidR="009C543E" w:rsidRPr="00FC5F23" w:rsidRDefault="009C543E" w:rsidP="00D07CB8">
            <w:pPr>
              <w:rPr>
                <w:rFonts w:cstheme="minorHAnsi"/>
                <w:b/>
                <w:color w:val="FFFFFF" w:themeColor="background1"/>
              </w:rPr>
            </w:pPr>
            <w:r w:rsidRPr="00FC5F23">
              <w:rPr>
                <w:rFonts w:cstheme="minorHAnsi"/>
                <w:b/>
                <w:color w:val="FFFFFF" w:themeColor="background1"/>
              </w:rPr>
              <w:t>Date</w:t>
            </w:r>
          </w:p>
        </w:tc>
        <w:tc>
          <w:tcPr>
            <w:tcW w:w="1418" w:type="dxa"/>
            <w:shd w:val="clear" w:color="auto" w:fill="002465"/>
            <w:hideMark/>
          </w:tcPr>
          <w:p w14:paraId="1356ABAE" w14:textId="77777777" w:rsidR="009C543E" w:rsidRPr="00FC5F23" w:rsidRDefault="009C543E" w:rsidP="00D07CB8">
            <w:pPr>
              <w:rPr>
                <w:rFonts w:cstheme="minorHAnsi"/>
                <w:b/>
                <w:color w:val="FFFFFF" w:themeColor="background1"/>
              </w:rPr>
            </w:pPr>
            <w:r w:rsidRPr="00FC5F23">
              <w:rPr>
                <w:rFonts w:cstheme="minorHAnsi"/>
                <w:b/>
                <w:color w:val="FFFFFF" w:themeColor="background1"/>
              </w:rPr>
              <w:t>Authority</w:t>
            </w:r>
          </w:p>
        </w:tc>
        <w:tc>
          <w:tcPr>
            <w:tcW w:w="2409" w:type="dxa"/>
            <w:shd w:val="clear" w:color="auto" w:fill="002465"/>
            <w:hideMark/>
          </w:tcPr>
          <w:p w14:paraId="7F04DEF1" w14:textId="77777777" w:rsidR="009C543E" w:rsidRPr="00FC5F23" w:rsidRDefault="009C543E" w:rsidP="00D07CB8">
            <w:pPr>
              <w:rPr>
                <w:rFonts w:cstheme="minorHAnsi"/>
                <w:b/>
                <w:color w:val="FFFFFF" w:themeColor="background1"/>
              </w:rPr>
            </w:pPr>
            <w:r w:rsidRPr="00FC5F23">
              <w:rPr>
                <w:rFonts w:cstheme="minorHAnsi"/>
                <w:b/>
                <w:color w:val="FFFFFF" w:themeColor="background1"/>
              </w:rPr>
              <w:t>Evidence of approval</w:t>
            </w:r>
          </w:p>
        </w:tc>
        <w:tc>
          <w:tcPr>
            <w:tcW w:w="2835" w:type="dxa"/>
            <w:shd w:val="clear" w:color="auto" w:fill="002465"/>
            <w:hideMark/>
          </w:tcPr>
          <w:p w14:paraId="78E9AE3F" w14:textId="77777777" w:rsidR="009C543E" w:rsidRPr="00FC5F23" w:rsidRDefault="009C543E" w:rsidP="00D07CB8">
            <w:pPr>
              <w:rPr>
                <w:rFonts w:cstheme="minorHAnsi"/>
                <w:b/>
                <w:color w:val="FFFFFF" w:themeColor="background1"/>
              </w:rPr>
            </w:pPr>
            <w:r w:rsidRPr="00FC5F23">
              <w:rPr>
                <w:rFonts w:cstheme="minorHAnsi"/>
                <w:b/>
                <w:color w:val="FFFFFF" w:themeColor="background1"/>
              </w:rPr>
              <w:t>Record of change</w:t>
            </w:r>
          </w:p>
        </w:tc>
      </w:tr>
      <w:tr w:rsidR="009C543E" w:rsidRPr="008C3C56" w14:paraId="53D93136" w14:textId="77777777" w:rsidTr="51CA4E8C">
        <w:trPr>
          <w:trHeight w:val="247"/>
        </w:trPr>
        <w:tc>
          <w:tcPr>
            <w:tcW w:w="988" w:type="dxa"/>
          </w:tcPr>
          <w:p w14:paraId="0BF305DE" w14:textId="77777777" w:rsidR="009C543E" w:rsidRPr="008C3C56" w:rsidRDefault="009C543E" w:rsidP="00D07CB8">
            <w:pPr>
              <w:rPr>
                <w:rFonts w:cstheme="minorHAnsi"/>
              </w:rPr>
            </w:pPr>
            <w:r>
              <w:rPr>
                <w:rFonts w:cstheme="minorHAnsi"/>
              </w:rPr>
              <w:t>0.1</w:t>
            </w:r>
          </w:p>
        </w:tc>
        <w:tc>
          <w:tcPr>
            <w:tcW w:w="1417" w:type="dxa"/>
          </w:tcPr>
          <w:p w14:paraId="0534CC0D" w14:textId="2B6073D4" w:rsidR="009C543E" w:rsidRPr="008C3C56" w:rsidRDefault="00B22833" w:rsidP="00D07CB8">
            <w:pPr>
              <w:rPr>
                <w:rFonts w:cstheme="minorHAnsi"/>
              </w:rPr>
            </w:pPr>
            <w:r>
              <w:rPr>
                <w:rFonts w:cstheme="minorHAnsi"/>
              </w:rPr>
              <w:t>30/07/2024</w:t>
            </w:r>
          </w:p>
        </w:tc>
        <w:tc>
          <w:tcPr>
            <w:tcW w:w="1418" w:type="dxa"/>
          </w:tcPr>
          <w:p w14:paraId="5584BD41" w14:textId="62F9EEF0" w:rsidR="009C543E" w:rsidRPr="008C3C56" w:rsidRDefault="00B22833" w:rsidP="1108A87A">
            <w:r w:rsidRPr="685C1F85">
              <w:t>Consultant</w:t>
            </w:r>
          </w:p>
        </w:tc>
        <w:tc>
          <w:tcPr>
            <w:tcW w:w="2409" w:type="dxa"/>
          </w:tcPr>
          <w:p w14:paraId="605D38BC" w14:textId="73C78654" w:rsidR="009C543E" w:rsidRPr="008C3C56" w:rsidRDefault="00B22833" w:rsidP="7FE76C0A">
            <w:r w:rsidRPr="51CA4E8C">
              <w:t>Consultant – Handley Gill Limited</w:t>
            </w:r>
          </w:p>
        </w:tc>
        <w:tc>
          <w:tcPr>
            <w:tcW w:w="2835" w:type="dxa"/>
          </w:tcPr>
          <w:p w14:paraId="73566121" w14:textId="0F2C8D26" w:rsidR="009C543E" w:rsidRPr="008C3C56" w:rsidRDefault="00B22833" w:rsidP="1699BAB1">
            <w:r w:rsidRPr="1699BAB1">
              <w:t xml:space="preserve">Amendments on South </w:t>
            </w:r>
            <w:r w:rsidR="6E963A57" w:rsidRPr="1699BAB1">
              <w:t>W</w:t>
            </w:r>
            <w:r w:rsidRPr="1699BAB1">
              <w:t>ales Police initial dra</w:t>
            </w:r>
            <w:r w:rsidR="10CD371B" w:rsidRPr="1699BAB1">
              <w:t>f</w:t>
            </w:r>
            <w:r w:rsidRPr="1699BAB1">
              <w:t>t</w:t>
            </w:r>
          </w:p>
        </w:tc>
      </w:tr>
      <w:tr w:rsidR="004858D7" w:rsidRPr="008C3C56" w14:paraId="2903AC71" w14:textId="77777777" w:rsidTr="51CA4E8C">
        <w:trPr>
          <w:trHeight w:val="247"/>
        </w:trPr>
        <w:tc>
          <w:tcPr>
            <w:tcW w:w="988" w:type="dxa"/>
          </w:tcPr>
          <w:p w14:paraId="77AEA82D" w14:textId="5AEF6866" w:rsidR="004858D7" w:rsidRDefault="004858D7" w:rsidP="00D07CB8">
            <w:pPr>
              <w:rPr>
                <w:rFonts w:cstheme="minorHAnsi"/>
              </w:rPr>
            </w:pPr>
            <w:r>
              <w:rPr>
                <w:rFonts w:cstheme="minorHAnsi"/>
              </w:rPr>
              <w:t>1.0</w:t>
            </w:r>
          </w:p>
        </w:tc>
        <w:tc>
          <w:tcPr>
            <w:tcW w:w="1417" w:type="dxa"/>
          </w:tcPr>
          <w:p w14:paraId="0276B64B" w14:textId="3FEFA6E8" w:rsidR="004858D7" w:rsidRDefault="00B22833" w:rsidP="00D07CB8">
            <w:pPr>
              <w:rPr>
                <w:rFonts w:cstheme="minorHAnsi"/>
              </w:rPr>
            </w:pPr>
            <w:r>
              <w:rPr>
                <w:rFonts w:cstheme="minorHAnsi"/>
              </w:rPr>
              <w:t>24/08/2024</w:t>
            </w:r>
          </w:p>
        </w:tc>
        <w:tc>
          <w:tcPr>
            <w:tcW w:w="1418" w:type="dxa"/>
          </w:tcPr>
          <w:p w14:paraId="1F3C1D1C" w14:textId="178F11D6" w:rsidR="004858D7" w:rsidRDefault="00B22833" w:rsidP="00D07CB8">
            <w:pPr>
              <w:rPr>
                <w:rFonts w:cstheme="minorHAnsi"/>
              </w:rPr>
            </w:pPr>
            <w:r>
              <w:rPr>
                <w:rFonts w:cstheme="minorHAnsi"/>
              </w:rPr>
              <w:t>Senior Information Governance Manager</w:t>
            </w:r>
          </w:p>
        </w:tc>
        <w:tc>
          <w:tcPr>
            <w:tcW w:w="2409" w:type="dxa"/>
          </w:tcPr>
          <w:p w14:paraId="6035880D" w14:textId="5C45B977" w:rsidR="004858D7" w:rsidRDefault="04973684" w:rsidP="7FE76C0A">
            <w:r w:rsidRPr="7FE76C0A">
              <w:t>Senior Information Governance Manager</w:t>
            </w:r>
          </w:p>
        </w:tc>
        <w:tc>
          <w:tcPr>
            <w:tcW w:w="2835" w:type="dxa"/>
          </w:tcPr>
          <w:p w14:paraId="00B13324" w14:textId="4906FCC4" w:rsidR="004858D7" w:rsidRDefault="00B22833" w:rsidP="00B22833">
            <w:pPr>
              <w:rPr>
                <w:rFonts w:cstheme="minorHAnsi"/>
              </w:rPr>
            </w:pPr>
            <w:r>
              <w:rPr>
                <w:rFonts w:cstheme="minorHAnsi"/>
              </w:rPr>
              <w:t>Final Draft for Publication</w:t>
            </w:r>
          </w:p>
        </w:tc>
      </w:tr>
      <w:tr w:rsidR="00F749CD" w:rsidRPr="008C3C56" w14:paraId="4BFDCB4B" w14:textId="77777777" w:rsidTr="51CA4E8C">
        <w:trPr>
          <w:trHeight w:val="247"/>
        </w:trPr>
        <w:tc>
          <w:tcPr>
            <w:tcW w:w="988" w:type="dxa"/>
          </w:tcPr>
          <w:p w14:paraId="03581107" w14:textId="6B643455" w:rsidR="00F749CD" w:rsidRDefault="00F749CD" w:rsidP="769EFA90">
            <w:r w:rsidRPr="769EFA90">
              <w:t>2.0</w:t>
            </w:r>
          </w:p>
        </w:tc>
        <w:tc>
          <w:tcPr>
            <w:tcW w:w="1417" w:type="dxa"/>
          </w:tcPr>
          <w:p w14:paraId="6491F94E" w14:textId="0E944837" w:rsidR="00F749CD" w:rsidRDefault="00F749CD" w:rsidP="769EFA90">
            <w:r w:rsidRPr="769EFA90">
              <w:t>27/11/2025</w:t>
            </w:r>
          </w:p>
        </w:tc>
        <w:tc>
          <w:tcPr>
            <w:tcW w:w="1418" w:type="dxa"/>
          </w:tcPr>
          <w:p w14:paraId="4F161547" w14:textId="0E27E0A5" w:rsidR="00F749CD" w:rsidRDefault="00F749CD" w:rsidP="769EFA90">
            <w:r w:rsidRPr="769EFA90">
              <w:t>LFR Tactical Lead</w:t>
            </w:r>
          </w:p>
        </w:tc>
        <w:tc>
          <w:tcPr>
            <w:tcW w:w="2409" w:type="dxa"/>
          </w:tcPr>
          <w:p w14:paraId="1D3B2CDF" w14:textId="6C744C37" w:rsidR="00F749CD" w:rsidRDefault="2D7EB613" w:rsidP="769EFA90">
            <w:r>
              <w:t xml:space="preserve">D/Supt </w:t>
            </w:r>
            <w:r w:rsidR="70090D4F">
              <w:t>Force Authorising Officer</w:t>
            </w:r>
          </w:p>
        </w:tc>
        <w:tc>
          <w:tcPr>
            <w:tcW w:w="2835" w:type="dxa"/>
          </w:tcPr>
          <w:p w14:paraId="023525F5" w14:textId="14463326" w:rsidR="00F749CD" w:rsidRDefault="7D974955" w:rsidP="769EFA90">
            <w:r>
              <w:t>Review ahead of first post-POC deployment</w:t>
            </w:r>
            <w:r w:rsidR="5779A4E7">
              <w:t xml:space="preserve"> </w:t>
            </w:r>
          </w:p>
        </w:tc>
      </w:tr>
      <w:tr w:rsidR="41AFCF1A" w14:paraId="32C9C852" w14:textId="77777777" w:rsidTr="51CA4E8C">
        <w:trPr>
          <w:trHeight w:val="247"/>
        </w:trPr>
        <w:tc>
          <w:tcPr>
            <w:tcW w:w="988" w:type="dxa"/>
          </w:tcPr>
          <w:p w14:paraId="5174CCD9" w14:textId="2A40D344" w:rsidR="2DD65D95" w:rsidRDefault="2DD65D95" w:rsidP="41AFCF1A">
            <w:r>
              <w:t>3.0</w:t>
            </w:r>
          </w:p>
        </w:tc>
        <w:tc>
          <w:tcPr>
            <w:tcW w:w="1417" w:type="dxa"/>
          </w:tcPr>
          <w:p w14:paraId="66F2F19C" w14:textId="2FE90136" w:rsidR="2DD65D95" w:rsidRDefault="2DD65D95" w:rsidP="41AFCF1A">
            <w:r>
              <w:t>03/08/2026</w:t>
            </w:r>
          </w:p>
        </w:tc>
        <w:tc>
          <w:tcPr>
            <w:tcW w:w="1418" w:type="dxa"/>
          </w:tcPr>
          <w:p w14:paraId="7F010199" w14:textId="242F3986" w:rsidR="41AFCF1A" w:rsidRDefault="45CE9B00" w:rsidP="2231E26B">
            <w:r w:rsidRPr="2231E26B">
              <w:t>Senior Information Governance Manager</w:t>
            </w:r>
          </w:p>
        </w:tc>
        <w:tc>
          <w:tcPr>
            <w:tcW w:w="2409" w:type="dxa"/>
          </w:tcPr>
          <w:p w14:paraId="3DD495ED" w14:textId="5C45B977" w:rsidR="41AFCF1A" w:rsidRDefault="340E4FD9" w:rsidP="44F88EF0">
            <w:r w:rsidRPr="44F88EF0">
              <w:t>Senior Information Governance Manager</w:t>
            </w:r>
          </w:p>
          <w:p w14:paraId="2238BE3E" w14:textId="6729987B" w:rsidR="41AFCF1A" w:rsidRDefault="41AFCF1A" w:rsidP="41AFCF1A"/>
        </w:tc>
        <w:tc>
          <w:tcPr>
            <w:tcW w:w="2835" w:type="dxa"/>
          </w:tcPr>
          <w:p w14:paraId="775F129F" w14:textId="384F3EE1" w:rsidR="2DD65D95" w:rsidRDefault="2DD65D95" w:rsidP="41AFCF1A">
            <w:r>
              <w:t>Updated use cases</w:t>
            </w:r>
          </w:p>
        </w:tc>
      </w:tr>
    </w:tbl>
    <w:p w14:paraId="499C46F9" w14:textId="1F758D62" w:rsidR="00782426" w:rsidRDefault="00782426" w:rsidP="007D55F5">
      <w:pPr>
        <w:rPr>
          <w:rFonts w:eastAsiaTheme="majorEastAsia" w:cstheme="minorHAnsi"/>
          <w:spacing w:val="-10"/>
          <w:kern w:val="28"/>
          <w:sz w:val="56"/>
          <w:szCs w:val="56"/>
        </w:rPr>
      </w:pPr>
    </w:p>
    <w:p w14:paraId="544D7A76" w14:textId="43D66686" w:rsidR="007D55F5" w:rsidRPr="008C3C56" w:rsidRDefault="007D55F5" w:rsidP="00782426">
      <w:pPr>
        <w:spacing w:line="259" w:lineRule="auto"/>
        <w:rPr>
          <w:rFonts w:eastAsiaTheme="majorEastAsia" w:cstheme="minorHAnsi"/>
          <w:spacing w:val="-10"/>
          <w:kern w:val="28"/>
          <w:sz w:val="56"/>
          <w:szCs w:val="56"/>
        </w:rPr>
      </w:pPr>
    </w:p>
    <w:p w14:paraId="494E0A1F" w14:textId="6E905E3B" w:rsidR="00C80A63" w:rsidRPr="004858D7" w:rsidRDefault="008C3C56">
      <w:pPr>
        <w:pStyle w:val="TOC1"/>
        <w:tabs>
          <w:tab w:val="left" w:pos="440"/>
          <w:tab w:val="right" w:leader="underscore" w:pos="9016"/>
        </w:tabs>
        <w:rPr>
          <w:rFonts w:eastAsiaTheme="minorEastAsia" w:cstheme="minorBidi"/>
          <w:b w:val="0"/>
          <w:i w:val="0"/>
          <w:iCs w:val="0"/>
          <w:noProof/>
          <w:sz w:val="22"/>
          <w:szCs w:val="22"/>
          <w:lang w:eastAsia="en-GB"/>
        </w:rPr>
      </w:pPr>
      <w:r w:rsidRPr="004858D7">
        <w:rPr>
          <w:b w:val="0"/>
          <w:i w:val="0"/>
          <w:iCs w:val="0"/>
        </w:rPr>
        <w:lastRenderedPageBreak/>
        <w:fldChar w:fldCharType="begin"/>
      </w:r>
      <w:r w:rsidRPr="004858D7">
        <w:rPr>
          <w:b w:val="0"/>
          <w:i w:val="0"/>
          <w:iCs w:val="0"/>
        </w:rPr>
        <w:instrText xml:space="preserve"> TOC \o "1-1" \h \z \u </w:instrText>
      </w:r>
      <w:r w:rsidRPr="004858D7">
        <w:rPr>
          <w:b w:val="0"/>
          <w:i w:val="0"/>
          <w:iCs w:val="0"/>
        </w:rPr>
        <w:fldChar w:fldCharType="separate"/>
      </w:r>
      <w:hyperlink w:anchor="_Toc86660203" w:history="1">
        <w:r w:rsidR="00C80A63" w:rsidRPr="004858D7">
          <w:rPr>
            <w:rStyle w:val="Hyperlink"/>
            <w:b w:val="0"/>
            <w:i w:val="0"/>
            <w:iCs w:val="0"/>
            <w:noProof/>
          </w:rPr>
          <w:t>1</w:t>
        </w:r>
        <w:r w:rsidR="00C80A63" w:rsidRPr="004858D7">
          <w:rPr>
            <w:rFonts w:eastAsiaTheme="minorEastAsia" w:cstheme="minorBidi"/>
            <w:b w:val="0"/>
            <w:i w:val="0"/>
            <w:iCs w:val="0"/>
            <w:noProof/>
            <w:sz w:val="22"/>
            <w:szCs w:val="22"/>
            <w:lang w:eastAsia="en-GB"/>
          </w:rPr>
          <w:tab/>
        </w:r>
        <w:r w:rsidR="00C80A63" w:rsidRPr="004858D7">
          <w:rPr>
            <w:rStyle w:val="Hyperlink"/>
            <w:b w:val="0"/>
            <w:i w:val="0"/>
            <w:iCs w:val="0"/>
            <w:noProof/>
          </w:rPr>
          <w:t>Introduction</w:t>
        </w:r>
        <w:r w:rsidR="00C80A63" w:rsidRPr="004858D7">
          <w:rPr>
            <w:b w:val="0"/>
            <w:i w:val="0"/>
            <w:iCs w:val="0"/>
            <w:noProof/>
            <w:webHidden/>
          </w:rPr>
          <w:tab/>
        </w:r>
        <w:r w:rsidR="00C80A63" w:rsidRPr="004858D7">
          <w:rPr>
            <w:b w:val="0"/>
            <w:i w:val="0"/>
            <w:iCs w:val="0"/>
            <w:noProof/>
            <w:webHidden/>
          </w:rPr>
          <w:fldChar w:fldCharType="begin"/>
        </w:r>
        <w:r w:rsidR="00C80A63" w:rsidRPr="004858D7">
          <w:rPr>
            <w:b w:val="0"/>
            <w:i w:val="0"/>
            <w:iCs w:val="0"/>
            <w:noProof/>
            <w:webHidden/>
          </w:rPr>
          <w:instrText xml:space="preserve"> PAGEREF _Toc86660203 \h </w:instrText>
        </w:r>
        <w:r w:rsidR="00C80A63" w:rsidRPr="004858D7">
          <w:rPr>
            <w:b w:val="0"/>
            <w:i w:val="0"/>
            <w:iCs w:val="0"/>
            <w:noProof/>
            <w:webHidden/>
          </w:rPr>
        </w:r>
        <w:r w:rsidR="00C80A63" w:rsidRPr="004858D7">
          <w:rPr>
            <w:b w:val="0"/>
            <w:i w:val="0"/>
            <w:iCs w:val="0"/>
            <w:noProof/>
            <w:webHidden/>
          </w:rPr>
          <w:fldChar w:fldCharType="separate"/>
        </w:r>
        <w:r w:rsidR="00DC16D8">
          <w:rPr>
            <w:b w:val="0"/>
            <w:i w:val="0"/>
            <w:iCs w:val="0"/>
            <w:noProof/>
            <w:webHidden/>
          </w:rPr>
          <w:t>3</w:t>
        </w:r>
        <w:r w:rsidR="00C80A63" w:rsidRPr="004858D7">
          <w:rPr>
            <w:b w:val="0"/>
            <w:i w:val="0"/>
            <w:iCs w:val="0"/>
            <w:noProof/>
            <w:webHidden/>
          </w:rPr>
          <w:fldChar w:fldCharType="end"/>
        </w:r>
      </w:hyperlink>
    </w:p>
    <w:p w14:paraId="51E7120A" w14:textId="4230CE73" w:rsidR="00C80A63" w:rsidRPr="004858D7" w:rsidRDefault="00C80A63">
      <w:pPr>
        <w:pStyle w:val="TOC1"/>
        <w:tabs>
          <w:tab w:val="left" w:pos="440"/>
          <w:tab w:val="right" w:leader="underscore" w:pos="9016"/>
        </w:tabs>
        <w:rPr>
          <w:rFonts w:eastAsiaTheme="minorEastAsia" w:cstheme="minorBidi"/>
          <w:b w:val="0"/>
          <w:i w:val="0"/>
          <w:iCs w:val="0"/>
          <w:noProof/>
          <w:sz w:val="22"/>
          <w:szCs w:val="22"/>
          <w:lang w:eastAsia="en-GB"/>
        </w:rPr>
      </w:pPr>
      <w:hyperlink w:anchor="_Toc86660204" w:history="1">
        <w:r w:rsidRPr="004858D7">
          <w:rPr>
            <w:rStyle w:val="Hyperlink"/>
            <w:b w:val="0"/>
            <w:i w:val="0"/>
            <w:iCs w:val="0"/>
            <w:noProof/>
          </w:rPr>
          <w:t>2</w:t>
        </w:r>
        <w:r w:rsidRPr="004858D7">
          <w:rPr>
            <w:rFonts w:eastAsiaTheme="minorEastAsia" w:cstheme="minorBidi"/>
            <w:b w:val="0"/>
            <w:i w:val="0"/>
            <w:iCs w:val="0"/>
            <w:noProof/>
            <w:sz w:val="22"/>
            <w:szCs w:val="22"/>
            <w:lang w:eastAsia="en-GB"/>
          </w:rPr>
          <w:tab/>
        </w:r>
        <w:r w:rsidRPr="004858D7">
          <w:rPr>
            <w:rStyle w:val="Hyperlink"/>
            <w:rFonts w:eastAsia="MS Mincho"/>
            <w:b w:val="0"/>
            <w:i w:val="0"/>
            <w:iCs w:val="0"/>
            <w:noProof/>
          </w:rPr>
          <w:t>Common Law</w:t>
        </w:r>
        <w:r w:rsidRPr="004858D7">
          <w:rPr>
            <w:b w:val="0"/>
            <w:i w:val="0"/>
            <w:iCs w:val="0"/>
            <w:noProof/>
            <w:webHidden/>
          </w:rPr>
          <w:tab/>
        </w:r>
        <w:r w:rsidRPr="004858D7">
          <w:rPr>
            <w:b w:val="0"/>
            <w:i w:val="0"/>
            <w:iCs w:val="0"/>
            <w:noProof/>
            <w:webHidden/>
          </w:rPr>
          <w:fldChar w:fldCharType="begin"/>
        </w:r>
        <w:r w:rsidRPr="004858D7">
          <w:rPr>
            <w:b w:val="0"/>
            <w:i w:val="0"/>
            <w:iCs w:val="0"/>
            <w:noProof/>
            <w:webHidden/>
          </w:rPr>
          <w:instrText xml:space="preserve"> PAGEREF _Toc86660204 \h </w:instrText>
        </w:r>
        <w:r w:rsidRPr="004858D7">
          <w:rPr>
            <w:b w:val="0"/>
            <w:i w:val="0"/>
            <w:iCs w:val="0"/>
            <w:noProof/>
            <w:webHidden/>
          </w:rPr>
        </w:r>
        <w:r w:rsidRPr="004858D7">
          <w:rPr>
            <w:b w:val="0"/>
            <w:i w:val="0"/>
            <w:iCs w:val="0"/>
            <w:noProof/>
            <w:webHidden/>
          </w:rPr>
          <w:fldChar w:fldCharType="separate"/>
        </w:r>
        <w:r w:rsidR="00DC16D8">
          <w:rPr>
            <w:b w:val="0"/>
            <w:i w:val="0"/>
            <w:iCs w:val="0"/>
            <w:noProof/>
            <w:webHidden/>
          </w:rPr>
          <w:t>4</w:t>
        </w:r>
        <w:r w:rsidRPr="004858D7">
          <w:rPr>
            <w:b w:val="0"/>
            <w:i w:val="0"/>
            <w:iCs w:val="0"/>
            <w:noProof/>
            <w:webHidden/>
          </w:rPr>
          <w:fldChar w:fldCharType="end"/>
        </w:r>
      </w:hyperlink>
    </w:p>
    <w:p w14:paraId="095AF8C8" w14:textId="68894235" w:rsidR="00C80A63" w:rsidRPr="004858D7" w:rsidRDefault="00C80A63">
      <w:pPr>
        <w:pStyle w:val="TOC1"/>
        <w:tabs>
          <w:tab w:val="left" w:pos="440"/>
          <w:tab w:val="right" w:leader="underscore" w:pos="9016"/>
        </w:tabs>
        <w:rPr>
          <w:rFonts w:eastAsiaTheme="minorEastAsia" w:cstheme="minorBidi"/>
          <w:b w:val="0"/>
          <w:i w:val="0"/>
          <w:iCs w:val="0"/>
          <w:noProof/>
          <w:sz w:val="22"/>
          <w:szCs w:val="22"/>
          <w:lang w:eastAsia="en-GB"/>
        </w:rPr>
      </w:pPr>
      <w:hyperlink w:anchor="_Toc86660211" w:history="1">
        <w:r w:rsidRPr="004858D7">
          <w:rPr>
            <w:rStyle w:val="Hyperlink"/>
            <w:b w:val="0"/>
            <w:i w:val="0"/>
            <w:iCs w:val="0"/>
            <w:noProof/>
          </w:rPr>
          <w:t>3</w:t>
        </w:r>
        <w:r w:rsidRPr="004858D7">
          <w:rPr>
            <w:rFonts w:eastAsiaTheme="minorEastAsia" w:cstheme="minorBidi"/>
            <w:b w:val="0"/>
            <w:i w:val="0"/>
            <w:iCs w:val="0"/>
            <w:noProof/>
            <w:sz w:val="22"/>
            <w:szCs w:val="22"/>
            <w:lang w:eastAsia="en-GB"/>
          </w:rPr>
          <w:tab/>
        </w:r>
        <w:r w:rsidRPr="004858D7">
          <w:rPr>
            <w:rStyle w:val="Hyperlink"/>
            <w:b w:val="0"/>
            <w:i w:val="0"/>
            <w:iCs w:val="0"/>
            <w:noProof/>
          </w:rPr>
          <w:t>Police and Criminal Evidence Act 1984</w:t>
        </w:r>
        <w:r w:rsidRPr="004858D7">
          <w:rPr>
            <w:b w:val="0"/>
            <w:i w:val="0"/>
            <w:iCs w:val="0"/>
            <w:noProof/>
            <w:webHidden/>
          </w:rPr>
          <w:tab/>
        </w:r>
        <w:r w:rsidRPr="004858D7">
          <w:rPr>
            <w:b w:val="0"/>
            <w:i w:val="0"/>
            <w:iCs w:val="0"/>
            <w:noProof/>
            <w:webHidden/>
          </w:rPr>
          <w:fldChar w:fldCharType="begin"/>
        </w:r>
        <w:r w:rsidRPr="004858D7">
          <w:rPr>
            <w:b w:val="0"/>
            <w:i w:val="0"/>
            <w:iCs w:val="0"/>
            <w:noProof/>
            <w:webHidden/>
          </w:rPr>
          <w:instrText xml:space="preserve"> PAGEREF _Toc86660211 \h </w:instrText>
        </w:r>
        <w:r w:rsidRPr="004858D7">
          <w:rPr>
            <w:b w:val="0"/>
            <w:i w:val="0"/>
            <w:iCs w:val="0"/>
            <w:noProof/>
            <w:webHidden/>
          </w:rPr>
        </w:r>
        <w:r w:rsidRPr="004858D7">
          <w:rPr>
            <w:b w:val="0"/>
            <w:i w:val="0"/>
            <w:iCs w:val="0"/>
            <w:noProof/>
            <w:webHidden/>
          </w:rPr>
          <w:fldChar w:fldCharType="separate"/>
        </w:r>
        <w:r w:rsidR="00DC16D8">
          <w:rPr>
            <w:b w:val="0"/>
            <w:i w:val="0"/>
            <w:iCs w:val="0"/>
            <w:noProof/>
            <w:webHidden/>
          </w:rPr>
          <w:t>5</w:t>
        </w:r>
        <w:r w:rsidRPr="004858D7">
          <w:rPr>
            <w:b w:val="0"/>
            <w:i w:val="0"/>
            <w:iCs w:val="0"/>
            <w:noProof/>
            <w:webHidden/>
          </w:rPr>
          <w:fldChar w:fldCharType="end"/>
        </w:r>
      </w:hyperlink>
    </w:p>
    <w:p w14:paraId="0206B8D2" w14:textId="2133012D" w:rsidR="00C80A63" w:rsidRPr="004858D7" w:rsidRDefault="00C80A63">
      <w:pPr>
        <w:pStyle w:val="TOC1"/>
        <w:tabs>
          <w:tab w:val="left" w:pos="440"/>
          <w:tab w:val="right" w:leader="underscore" w:pos="9016"/>
        </w:tabs>
        <w:rPr>
          <w:rFonts w:eastAsiaTheme="minorEastAsia" w:cstheme="minorBidi"/>
          <w:b w:val="0"/>
          <w:i w:val="0"/>
          <w:iCs w:val="0"/>
          <w:noProof/>
          <w:sz w:val="22"/>
          <w:szCs w:val="22"/>
          <w:lang w:eastAsia="en-GB"/>
        </w:rPr>
      </w:pPr>
      <w:hyperlink w:anchor="_Toc86660212" w:history="1">
        <w:r w:rsidRPr="004858D7">
          <w:rPr>
            <w:rStyle w:val="Hyperlink"/>
            <w:b w:val="0"/>
            <w:i w:val="0"/>
            <w:iCs w:val="0"/>
            <w:noProof/>
          </w:rPr>
          <w:t>4</w:t>
        </w:r>
        <w:r w:rsidRPr="004858D7">
          <w:rPr>
            <w:rFonts w:eastAsiaTheme="minorEastAsia" w:cstheme="minorBidi"/>
            <w:b w:val="0"/>
            <w:i w:val="0"/>
            <w:iCs w:val="0"/>
            <w:noProof/>
            <w:sz w:val="22"/>
            <w:szCs w:val="22"/>
            <w:lang w:eastAsia="en-GB"/>
          </w:rPr>
          <w:tab/>
        </w:r>
        <w:r w:rsidRPr="004858D7">
          <w:rPr>
            <w:rStyle w:val="Hyperlink"/>
            <w:b w:val="0"/>
            <w:i w:val="0"/>
            <w:iCs w:val="0"/>
            <w:noProof/>
          </w:rPr>
          <w:t>Human Rights Act 1998</w:t>
        </w:r>
        <w:r w:rsidRPr="004858D7">
          <w:rPr>
            <w:b w:val="0"/>
            <w:i w:val="0"/>
            <w:iCs w:val="0"/>
            <w:noProof/>
            <w:webHidden/>
          </w:rPr>
          <w:tab/>
        </w:r>
        <w:r w:rsidRPr="004858D7">
          <w:rPr>
            <w:b w:val="0"/>
            <w:i w:val="0"/>
            <w:iCs w:val="0"/>
            <w:noProof/>
            <w:webHidden/>
          </w:rPr>
          <w:fldChar w:fldCharType="begin"/>
        </w:r>
        <w:r w:rsidRPr="004858D7">
          <w:rPr>
            <w:b w:val="0"/>
            <w:i w:val="0"/>
            <w:iCs w:val="0"/>
            <w:noProof/>
            <w:webHidden/>
          </w:rPr>
          <w:instrText xml:space="preserve"> PAGEREF _Toc86660212 \h </w:instrText>
        </w:r>
        <w:r w:rsidRPr="004858D7">
          <w:rPr>
            <w:b w:val="0"/>
            <w:i w:val="0"/>
            <w:iCs w:val="0"/>
            <w:noProof/>
            <w:webHidden/>
          </w:rPr>
        </w:r>
        <w:r w:rsidRPr="004858D7">
          <w:rPr>
            <w:b w:val="0"/>
            <w:i w:val="0"/>
            <w:iCs w:val="0"/>
            <w:noProof/>
            <w:webHidden/>
          </w:rPr>
          <w:fldChar w:fldCharType="separate"/>
        </w:r>
        <w:r w:rsidR="00DC16D8">
          <w:rPr>
            <w:b w:val="0"/>
            <w:i w:val="0"/>
            <w:iCs w:val="0"/>
            <w:noProof/>
            <w:webHidden/>
          </w:rPr>
          <w:t>5</w:t>
        </w:r>
        <w:r w:rsidRPr="004858D7">
          <w:rPr>
            <w:b w:val="0"/>
            <w:i w:val="0"/>
            <w:iCs w:val="0"/>
            <w:noProof/>
            <w:webHidden/>
          </w:rPr>
          <w:fldChar w:fldCharType="end"/>
        </w:r>
      </w:hyperlink>
    </w:p>
    <w:p w14:paraId="778C68A5" w14:textId="69E9181E" w:rsidR="00C80A63" w:rsidRPr="004858D7" w:rsidRDefault="00C80A63">
      <w:pPr>
        <w:pStyle w:val="TOC1"/>
        <w:tabs>
          <w:tab w:val="left" w:pos="440"/>
          <w:tab w:val="right" w:leader="underscore" w:pos="9016"/>
        </w:tabs>
        <w:rPr>
          <w:rFonts w:eastAsiaTheme="minorEastAsia" w:cstheme="minorBidi"/>
          <w:b w:val="0"/>
          <w:i w:val="0"/>
          <w:iCs w:val="0"/>
          <w:noProof/>
          <w:sz w:val="22"/>
          <w:szCs w:val="22"/>
          <w:lang w:eastAsia="en-GB"/>
        </w:rPr>
      </w:pPr>
      <w:hyperlink w:anchor="_Toc86660215" w:history="1">
        <w:r w:rsidRPr="004858D7">
          <w:rPr>
            <w:rStyle w:val="Hyperlink"/>
            <w:b w:val="0"/>
            <w:i w:val="0"/>
            <w:iCs w:val="0"/>
            <w:noProof/>
          </w:rPr>
          <w:t>5</w:t>
        </w:r>
        <w:r w:rsidRPr="004858D7">
          <w:rPr>
            <w:rFonts w:eastAsiaTheme="minorEastAsia" w:cstheme="minorBidi"/>
            <w:b w:val="0"/>
            <w:i w:val="0"/>
            <w:iCs w:val="0"/>
            <w:noProof/>
            <w:sz w:val="22"/>
            <w:szCs w:val="22"/>
            <w:lang w:eastAsia="en-GB"/>
          </w:rPr>
          <w:tab/>
        </w:r>
        <w:r w:rsidRPr="004858D7">
          <w:rPr>
            <w:rStyle w:val="Hyperlink"/>
            <w:b w:val="0"/>
            <w:i w:val="0"/>
            <w:iCs w:val="0"/>
            <w:noProof/>
          </w:rPr>
          <w:t>Equality Act 2010</w:t>
        </w:r>
        <w:r w:rsidRPr="004858D7">
          <w:rPr>
            <w:b w:val="0"/>
            <w:i w:val="0"/>
            <w:iCs w:val="0"/>
            <w:noProof/>
            <w:webHidden/>
          </w:rPr>
          <w:tab/>
        </w:r>
        <w:r w:rsidRPr="004858D7">
          <w:rPr>
            <w:b w:val="0"/>
            <w:i w:val="0"/>
            <w:iCs w:val="0"/>
            <w:noProof/>
            <w:webHidden/>
          </w:rPr>
          <w:fldChar w:fldCharType="begin"/>
        </w:r>
        <w:r w:rsidRPr="004858D7">
          <w:rPr>
            <w:b w:val="0"/>
            <w:i w:val="0"/>
            <w:iCs w:val="0"/>
            <w:noProof/>
            <w:webHidden/>
          </w:rPr>
          <w:instrText xml:space="preserve"> PAGEREF _Toc86660215 \h </w:instrText>
        </w:r>
        <w:r w:rsidRPr="004858D7">
          <w:rPr>
            <w:b w:val="0"/>
            <w:i w:val="0"/>
            <w:iCs w:val="0"/>
            <w:noProof/>
            <w:webHidden/>
          </w:rPr>
        </w:r>
        <w:r w:rsidRPr="004858D7">
          <w:rPr>
            <w:b w:val="0"/>
            <w:i w:val="0"/>
            <w:iCs w:val="0"/>
            <w:noProof/>
            <w:webHidden/>
          </w:rPr>
          <w:fldChar w:fldCharType="separate"/>
        </w:r>
        <w:r w:rsidR="00DC16D8">
          <w:rPr>
            <w:b w:val="0"/>
            <w:i w:val="0"/>
            <w:iCs w:val="0"/>
            <w:noProof/>
            <w:webHidden/>
          </w:rPr>
          <w:t>15</w:t>
        </w:r>
        <w:r w:rsidRPr="004858D7">
          <w:rPr>
            <w:b w:val="0"/>
            <w:i w:val="0"/>
            <w:iCs w:val="0"/>
            <w:noProof/>
            <w:webHidden/>
          </w:rPr>
          <w:fldChar w:fldCharType="end"/>
        </w:r>
      </w:hyperlink>
    </w:p>
    <w:p w14:paraId="60978C08" w14:textId="0759C822" w:rsidR="00C80A63" w:rsidRPr="004858D7" w:rsidRDefault="00C80A63">
      <w:pPr>
        <w:pStyle w:val="TOC1"/>
        <w:tabs>
          <w:tab w:val="left" w:pos="440"/>
          <w:tab w:val="right" w:leader="underscore" w:pos="9016"/>
        </w:tabs>
        <w:rPr>
          <w:rFonts w:eastAsiaTheme="minorEastAsia" w:cstheme="minorBidi"/>
          <w:b w:val="0"/>
          <w:i w:val="0"/>
          <w:iCs w:val="0"/>
          <w:noProof/>
          <w:sz w:val="22"/>
          <w:szCs w:val="22"/>
          <w:lang w:eastAsia="en-GB"/>
        </w:rPr>
      </w:pPr>
      <w:hyperlink w:anchor="_Toc86660216" w:history="1">
        <w:r w:rsidRPr="004858D7">
          <w:rPr>
            <w:rStyle w:val="Hyperlink"/>
            <w:b w:val="0"/>
            <w:i w:val="0"/>
            <w:iCs w:val="0"/>
            <w:noProof/>
          </w:rPr>
          <w:t>6</w:t>
        </w:r>
        <w:r w:rsidRPr="004858D7">
          <w:rPr>
            <w:rFonts w:eastAsiaTheme="minorEastAsia" w:cstheme="minorBidi"/>
            <w:b w:val="0"/>
            <w:i w:val="0"/>
            <w:iCs w:val="0"/>
            <w:noProof/>
            <w:sz w:val="22"/>
            <w:szCs w:val="22"/>
            <w:lang w:eastAsia="en-GB"/>
          </w:rPr>
          <w:tab/>
        </w:r>
        <w:r w:rsidRPr="004858D7">
          <w:rPr>
            <w:rStyle w:val="Hyperlink"/>
            <w:b w:val="0"/>
            <w:i w:val="0"/>
            <w:iCs w:val="0"/>
            <w:noProof/>
          </w:rPr>
          <w:t>Data Protection Act 2018</w:t>
        </w:r>
        <w:r w:rsidRPr="004858D7">
          <w:rPr>
            <w:b w:val="0"/>
            <w:i w:val="0"/>
            <w:iCs w:val="0"/>
            <w:noProof/>
            <w:webHidden/>
          </w:rPr>
          <w:tab/>
        </w:r>
        <w:r w:rsidRPr="004858D7">
          <w:rPr>
            <w:b w:val="0"/>
            <w:i w:val="0"/>
            <w:iCs w:val="0"/>
            <w:noProof/>
            <w:webHidden/>
          </w:rPr>
          <w:fldChar w:fldCharType="begin"/>
        </w:r>
        <w:r w:rsidRPr="004858D7">
          <w:rPr>
            <w:b w:val="0"/>
            <w:i w:val="0"/>
            <w:iCs w:val="0"/>
            <w:noProof/>
            <w:webHidden/>
          </w:rPr>
          <w:instrText xml:space="preserve"> PAGEREF _Toc86660216 \h </w:instrText>
        </w:r>
        <w:r w:rsidRPr="004858D7">
          <w:rPr>
            <w:b w:val="0"/>
            <w:i w:val="0"/>
            <w:iCs w:val="0"/>
            <w:noProof/>
            <w:webHidden/>
          </w:rPr>
        </w:r>
        <w:r w:rsidRPr="004858D7">
          <w:rPr>
            <w:b w:val="0"/>
            <w:i w:val="0"/>
            <w:iCs w:val="0"/>
            <w:noProof/>
            <w:webHidden/>
          </w:rPr>
          <w:fldChar w:fldCharType="separate"/>
        </w:r>
        <w:r w:rsidR="00DC16D8">
          <w:rPr>
            <w:b w:val="0"/>
            <w:i w:val="0"/>
            <w:iCs w:val="0"/>
            <w:noProof/>
            <w:webHidden/>
          </w:rPr>
          <w:t>17</w:t>
        </w:r>
        <w:r w:rsidRPr="004858D7">
          <w:rPr>
            <w:b w:val="0"/>
            <w:i w:val="0"/>
            <w:iCs w:val="0"/>
            <w:noProof/>
            <w:webHidden/>
          </w:rPr>
          <w:fldChar w:fldCharType="end"/>
        </w:r>
      </w:hyperlink>
    </w:p>
    <w:p w14:paraId="30E4061E" w14:textId="02E18A80" w:rsidR="00C80A63" w:rsidRPr="004858D7" w:rsidRDefault="00C80A63">
      <w:pPr>
        <w:pStyle w:val="TOC1"/>
        <w:tabs>
          <w:tab w:val="left" w:pos="440"/>
          <w:tab w:val="right" w:leader="underscore" w:pos="9016"/>
        </w:tabs>
        <w:rPr>
          <w:rFonts w:eastAsiaTheme="minorEastAsia" w:cstheme="minorBidi"/>
          <w:b w:val="0"/>
          <w:i w:val="0"/>
          <w:iCs w:val="0"/>
          <w:noProof/>
          <w:sz w:val="22"/>
          <w:szCs w:val="22"/>
          <w:lang w:eastAsia="en-GB"/>
        </w:rPr>
      </w:pPr>
      <w:hyperlink w:anchor="_Toc86660217" w:history="1">
        <w:r w:rsidRPr="004858D7">
          <w:rPr>
            <w:rStyle w:val="Hyperlink"/>
            <w:b w:val="0"/>
            <w:i w:val="0"/>
            <w:iCs w:val="0"/>
            <w:noProof/>
          </w:rPr>
          <w:t>7</w:t>
        </w:r>
        <w:r w:rsidRPr="004858D7">
          <w:rPr>
            <w:rFonts w:eastAsiaTheme="minorEastAsia" w:cstheme="minorBidi"/>
            <w:b w:val="0"/>
            <w:i w:val="0"/>
            <w:iCs w:val="0"/>
            <w:noProof/>
            <w:sz w:val="22"/>
            <w:szCs w:val="22"/>
            <w:lang w:eastAsia="en-GB"/>
          </w:rPr>
          <w:tab/>
        </w:r>
        <w:r w:rsidR="00566141">
          <w:rPr>
            <w:rFonts w:eastAsiaTheme="minorEastAsia" w:cstheme="minorBidi"/>
            <w:b w:val="0"/>
            <w:i w:val="0"/>
            <w:iCs w:val="0"/>
            <w:noProof/>
            <w:sz w:val="22"/>
            <w:szCs w:val="22"/>
            <w:lang w:eastAsia="en-GB"/>
          </w:rPr>
          <w:t xml:space="preserve">UK </w:t>
        </w:r>
        <w:r w:rsidRPr="004858D7">
          <w:rPr>
            <w:rStyle w:val="Hyperlink"/>
            <w:b w:val="0"/>
            <w:i w:val="0"/>
            <w:iCs w:val="0"/>
            <w:noProof/>
          </w:rPr>
          <w:t>General Data Protection Regulation</w:t>
        </w:r>
        <w:r w:rsidRPr="004858D7">
          <w:rPr>
            <w:b w:val="0"/>
            <w:i w:val="0"/>
            <w:iCs w:val="0"/>
            <w:noProof/>
            <w:webHidden/>
          </w:rPr>
          <w:tab/>
        </w:r>
        <w:r w:rsidRPr="004858D7">
          <w:rPr>
            <w:b w:val="0"/>
            <w:i w:val="0"/>
            <w:iCs w:val="0"/>
            <w:noProof/>
            <w:webHidden/>
          </w:rPr>
          <w:fldChar w:fldCharType="begin"/>
        </w:r>
        <w:r w:rsidRPr="004858D7">
          <w:rPr>
            <w:b w:val="0"/>
            <w:i w:val="0"/>
            <w:iCs w:val="0"/>
            <w:noProof/>
            <w:webHidden/>
          </w:rPr>
          <w:instrText xml:space="preserve"> PAGEREF _Toc86660217 \h </w:instrText>
        </w:r>
        <w:r w:rsidRPr="004858D7">
          <w:rPr>
            <w:b w:val="0"/>
            <w:i w:val="0"/>
            <w:iCs w:val="0"/>
            <w:noProof/>
            <w:webHidden/>
          </w:rPr>
        </w:r>
        <w:r w:rsidRPr="004858D7">
          <w:rPr>
            <w:b w:val="0"/>
            <w:i w:val="0"/>
            <w:iCs w:val="0"/>
            <w:noProof/>
            <w:webHidden/>
          </w:rPr>
          <w:fldChar w:fldCharType="separate"/>
        </w:r>
        <w:r w:rsidR="00DC16D8">
          <w:rPr>
            <w:b w:val="0"/>
            <w:i w:val="0"/>
            <w:iCs w:val="0"/>
            <w:noProof/>
            <w:webHidden/>
          </w:rPr>
          <w:t>21</w:t>
        </w:r>
        <w:r w:rsidRPr="004858D7">
          <w:rPr>
            <w:b w:val="0"/>
            <w:i w:val="0"/>
            <w:iCs w:val="0"/>
            <w:noProof/>
            <w:webHidden/>
          </w:rPr>
          <w:fldChar w:fldCharType="end"/>
        </w:r>
      </w:hyperlink>
    </w:p>
    <w:p w14:paraId="36CB865D" w14:textId="21BBA8FA" w:rsidR="00C80A63" w:rsidRPr="004858D7" w:rsidRDefault="00C80A63">
      <w:pPr>
        <w:pStyle w:val="TOC1"/>
        <w:tabs>
          <w:tab w:val="left" w:pos="440"/>
          <w:tab w:val="right" w:leader="underscore" w:pos="9016"/>
        </w:tabs>
        <w:rPr>
          <w:rFonts w:eastAsiaTheme="minorEastAsia" w:cstheme="minorBidi"/>
          <w:b w:val="0"/>
          <w:i w:val="0"/>
          <w:iCs w:val="0"/>
          <w:noProof/>
          <w:sz w:val="22"/>
          <w:szCs w:val="22"/>
          <w:lang w:eastAsia="en-GB"/>
        </w:rPr>
      </w:pPr>
      <w:hyperlink w:anchor="_Toc86660218" w:history="1">
        <w:r w:rsidRPr="004858D7">
          <w:rPr>
            <w:rStyle w:val="Hyperlink"/>
            <w:b w:val="0"/>
            <w:i w:val="0"/>
            <w:iCs w:val="0"/>
            <w:noProof/>
          </w:rPr>
          <w:t>8</w:t>
        </w:r>
        <w:r w:rsidRPr="004858D7">
          <w:rPr>
            <w:rFonts w:eastAsiaTheme="minorEastAsia" w:cstheme="minorBidi"/>
            <w:b w:val="0"/>
            <w:i w:val="0"/>
            <w:iCs w:val="0"/>
            <w:noProof/>
            <w:sz w:val="22"/>
            <w:szCs w:val="22"/>
            <w:lang w:eastAsia="en-GB"/>
          </w:rPr>
          <w:tab/>
        </w:r>
        <w:r w:rsidRPr="004858D7">
          <w:rPr>
            <w:rStyle w:val="Hyperlink"/>
            <w:b w:val="0"/>
            <w:i w:val="0"/>
            <w:iCs w:val="0"/>
            <w:noProof/>
          </w:rPr>
          <w:t>Protection of Freedoms Act 2012</w:t>
        </w:r>
        <w:r w:rsidRPr="004858D7">
          <w:rPr>
            <w:b w:val="0"/>
            <w:i w:val="0"/>
            <w:iCs w:val="0"/>
            <w:noProof/>
            <w:webHidden/>
          </w:rPr>
          <w:tab/>
        </w:r>
        <w:r w:rsidRPr="004858D7">
          <w:rPr>
            <w:b w:val="0"/>
            <w:i w:val="0"/>
            <w:iCs w:val="0"/>
            <w:noProof/>
            <w:webHidden/>
          </w:rPr>
          <w:fldChar w:fldCharType="begin"/>
        </w:r>
        <w:r w:rsidRPr="004858D7">
          <w:rPr>
            <w:b w:val="0"/>
            <w:i w:val="0"/>
            <w:iCs w:val="0"/>
            <w:noProof/>
            <w:webHidden/>
          </w:rPr>
          <w:instrText xml:space="preserve"> PAGEREF _Toc86660218 \h </w:instrText>
        </w:r>
        <w:r w:rsidRPr="004858D7">
          <w:rPr>
            <w:b w:val="0"/>
            <w:i w:val="0"/>
            <w:iCs w:val="0"/>
            <w:noProof/>
            <w:webHidden/>
          </w:rPr>
        </w:r>
        <w:r w:rsidRPr="004858D7">
          <w:rPr>
            <w:b w:val="0"/>
            <w:i w:val="0"/>
            <w:iCs w:val="0"/>
            <w:noProof/>
            <w:webHidden/>
          </w:rPr>
          <w:fldChar w:fldCharType="separate"/>
        </w:r>
        <w:r w:rsidR="00DC16D8">
          <w:rPr>
            <w:b w:val="0"/>
            <w:i w:val="0"/>
            <w:iCs w:val="0"/>
            <w:noProof/>
            <w:webHidden/>
          </w:rPr>
          <w:t>22</w:t>
        </w:r>
        <w:r w:rsidRPr="004858D7">
          <w:rPr>
            <w:b w:val="0"/>
            <w:i w:val="0"/>
            <w:iCs w:val="0"/>
            <w:noProof/>
            <w:webHidden/>
          </w:rPr>
          <w:fldChar w:fldCharType="end"/>
        </w:r>
      </w:hyperlink>
    </w:p>
    <w:p w14:paraId="38EE72FB" w14:textId="19462FCE" w:rsidR="00C80A63" w:rsidRPr="004858D7" w:rsidRDefault="00C80A63">
      <w:pPr>
        <w:pStyle w:val="TOC1"/>
        <w:tabs>
          <w:tab w:val="left" w:pos="440"/>
          <w:tab w:val="right" w:leader="underscore" w:pos="9016"/>
        </w:tabs>
        <w:rPr>
          <w:rFonts w:eastAsiaTheme="minorEastAsia" w:cstheme="minorBidi"/>
          <w:b w:val="0"/>
          <w:i w:val="0"/>
          <w:iCs w:val="0"/>
          <w:noProof/>
          <w:sz w:val="22"/>
          <w:szCs w:val="22"/>
          <w:lang w:eastAsia="en-GB"/>
        </w:rPr>
      </w:pPr>
      <w:hyperlink w:anchor="_Toc86660219" w:history="1">
        <w:r w:rsidRPr="004858D7">
          <w:rPr>
            <w:rStyle w:val="Hyperlink"/>
            <w:b w:val="0"/>
            <w:i w:val="0"/>
            <w:iCs w:val="0"/>
            <w:noProof/>
          </w:rPr>
          <w:t>9</w:t>
        </w:r>
        <w:r w:rsidRPr="004858D7">
          <w:rPr>
            <w:rFonts w:eastAsiaTheme="minorEastAsia" w:cstheme="minorBidi"/>
            <w:b w:val="0"/>
            <w:i w:val="0"/>
            <w:iCs w:val="0"/>
            <w:noProof/>
            <w:sz w:val="22"/>
            <w:szCs w:val="22"/>
            <w:lang w:eastAsia="en-GB"/>
          </w:rPr>
          <w:tab/>
        </w:r>
        <w:r w:rsidRPr="004858D7">
          <w:rPr>
            <w:rStyle w:val="Hyperlink"/>
            <w:b w:val="0"/>
            <w:i w:val="0"/>
            <w:iCs w:val="0"/>
            <w:noProof/>
          </w:rPr>
          <w:t>Freedom of Information Act 2000</w:t>
        </w:r>
        <w:r w:rsidRPr="004858D7">
          <w:rPr>
            <w:b w:val="0"/>
            <w:i w:val="0"/>
            <w:iCs w:val="0"/>
            <w:noProof/>
            <w:webHidden/>
          </w:rPr>
          <w:tab/>
        </w:r>
        <w:r w:rsidRPr="004858D7">
          <w:rPr>
            <w:b w:val="0"/>
            <w:i w:val="0"/>
            <w:iCs w:val="0"/>
            <w:noProof/>
            <w:webHidden/>
          </w:rPr>
          <w:fldChar w:fldCharType="begin"/>
        </w:r>
        <w:r w:rsidRPr="004858D7">
          <w:rPr>
            <w:b w:val="0"/>
            <w:i w:val="0"/>
            <w:iCs w:val="0"/>
            <w:noProof/>
            <w:webHidden/>
          </w:rPr>
          <w:instrText xml:space="preserve"> PAGEREF _Toc86660219 \h </w:instrText>
        </w:r>
        <w:r w:rsidRPr="004858D7">
          <w:rPr>
            <w:b w:val="0"/>
            <w:i w:val="0"/>
            <w:iCs w:val="0"/>
            <w:noProof/>
            <w:webHidden/>
          </w:rPr>
        </w:r>
        <w:r w:rsidRPr="004858D7">
          <w:rPr>
            <w:b w:val="0"/>
            <w:i w:val="0"/>
            <w:iCs w:val="0"/>
            <w:noProof/>
            <w:webHidden/>
          </w:rPr>
          <w:fldChar w:fldCharType="separate"/>
        </w:r>
        <w:r w:rsidR="00DC16D8">
          <w:rPr>
            <w:b w:val="0"/>
            <w:i w:val="0"/>
            <w:iCs w:val="0"/>
            <w:noProof/>
            <w:webHidden/>
          </w:rPr>
          <w:t>23</w:t>
        </w:r>
        <w:r w:rsidRPr="004858D7">
          <w:rPr>
            <w:b w:val="0"/>
            <w:i w:val="0"/>
            <w:iCs w:val="0"/>
            <w:noProof/>
            <w:webHidden/>
          </w:rPr>
          <w:fldChar w:fldCharType="end"/>
        </w:r>
      </w:hyperlink>
    </w:p>
    <w:p w14:paraId="2EBDCED1" w14:textId="4C6EB1E7" w:rsidR="00C80A63" w:rsidRPr="004858D7" w:rsidRDefault="00C80A63">
      <w:pPr>
        <w:pStyle w:val="TOC1"/>
        <w:tabs>
          <w:tab w:val="left" w:pos="660"/>
          <w:tab w:val="right" w:leader="underscore" w:pos="9016"/>
        </w:tabs>
        <w:rPr>
          <w:rFonts w:eastAsiaTheme="minorEastAsia" w:cstheme="minorBidi"/>
          <w:b w:val="0"/>
          <w:i w:val="0"/>
          <w:iCs w:val="0"/>
          <w:noProof/>
          <w:sz w:val="22"/>
          <w:szCs w:val="22"/>
          <w:lang w:eastAsia="en-GB"/>
        </w:rPr>
      </w:pPr>
      <w:hyperlink w:anchor="_Toc86660220" w:history="1">
        <w:r w:rsidRPr="004858D7">
          <w:rPr>
            <w:rStyle w:val="Hyperlink"/>
            <w:b w:val="0"/>
            <w:i w:val="0"/>
            <w:iCs w:val="0"/>
            <w:noProof/>
          </w:rPr>
          <w:t>10</w:t>
        </w:r>
        <w:r w:rsidRPr="004858D7">
          <w:rPr>
            <w:rFonts w:eastAsiaTheme="minorEastAsia" w:cstheme="minorBidi"/>
            <w:b w:val="0"/>
            <w:i w:val="0"/>
            <w:iCs w:val="0"/>
            <w:noProof/>
            <w:sz w:val="22"/>
            <w:szCs w:val="22"/>
            <w:lang w:eastAsia="en-GB"/>
          </w:rPr>
          <w:t xml:space="preserve">    </w:t>
        </w:r>
        <w:r w:rsidRPr="004858D7">
          <w:rPr>
            <w:rStyle w:val="Hyperlink"/>
            <w:b w:val="0"/>
            <w:i w:val="0"/>
            <w:iCs w:val="0"/>
            <w:noProof/>
          </w:rPr>
          <w:t>Legal Framework and Governance Overview</w:t>
        </w:r>
        <w:r w:rsidRPr="004858D7">
          <w:rPr>
            <w:b w:val="0"/>
            <w:i w:val="0"/>
            <w:iCs w:val="0"/>
            <w:noProof/>
            <w:webHidden/>
          </w:rPr>
          <w:tab/>
        </w:r>
        <w:r w:rsidRPr="004858D7">
          <w:rPr>
            <w:b w:val="0"/>
            <w:i w:val="0"/>
            <w:iCs w:val="0"/>
            <w:noProof/>
            <w:webHidden/>
          </w:rPr>
          <w:fldChar w:fldCharType="begin"/>
        </w:r>
        <w:r w:rsidRPr="004858D7">
          <w:rPr>
            <w:b w:val="0"/>
            <w:i w:val="0"/>
            <w:iCs w:val="0"/>
            <w:noProof/>
            <w:webHidden/>
          </w:rPr>
          <w:instrText xml:space="preserve"> PAGEREF _Toc86660220 \h </w:instrText>
        </w:r>
        <w:r w:rsidRPr="004858D7">
          <w:rPr>
            <w:b w:val="0"/>
            <w:i w:val="0"/>
            <w:iCs w:val="0"/>
            <w:noProof/>
            <w:webHidden/>
          </w:rPr>
        </w:r>
        <w:r w:rsidRPr="004858D7">
          <w:rPr>
            <w:b w:val="0"/>
            <w:i w:val="0"/>
            <w:iCs w:val="0"/>
            <w:noProof/>
            <w:webHidden/>
          </w:rPr>
          <w:fldChar w:fldCharType="separate"/>
        </w:r>
        <w:r w:rsidR="00DC16D8">
          <w:rPr>
            <w:b w:val="0"/>
            <w:i w:val="0"/>
            <w:iCs w:val="0"/>
            <w:noProof/>
            <w:webHidden/>
          </w:rPr>
          <w:t>24</w:t>
        </w:r>
        <w:r w:rsidRPr="004858D7">
          <w:rPr>
            <w:b w:val="0"/>
            <w:i w:val="0"/>
            <w:iCs w:val="0"/>
            <w:noProof/>
            <w:webHidden/>
          </w:rPr>
          <w:fldChar w:fldCharType="end"/>
        </w:r>
      </w:hyperlink>
    </w:p>
    <w:p w14:paraId="13995C4E" w14:textId="42B3F447" w:rsidR="00B06BBE" w:rsidRDefault="008C3C56" w:rsidP="00B06BBE">
      <w:pPr>
        <w:pStyle w:val="TOC1"/>
        <w:tabs>
          <w:tab w:val="left" w:pos="440"/>
          <w:tab w:val="right" w:leader="underscore" w:pos="9016"/>
        </w:tabs>
        <w:rPr>
          <w:rFonts w:eastAsiaTheme="minorEastAsia" w:cstheme="minorBidi"/>
          <w:b w:val="0"/>
          <w:bCs w:val="0"/>
          <w:i w:val="0"/>
          <w:iCs w:val="0"/>
          <w:noProof/>
          <w:sz w:val="22"/>
          <w:szCs w:val="22"/>
          <w:lang w:eastAsia="en-GB"/>
        </w:rPr>
      </w:pPr>
      <w:r w:rsidRPr="004858D7">
        <w:rPr>
          <w:b w:val="0"/>
          <w:i w:val="0"/>
          <w:iCs w:val="0"/>
        </w:rPr>
        <w:fldChar w:fldCharType="end"/>
      </w:r>
    </w:p>
    <w:p w14:paraId="0A6851A3" w14:textId="7D76E2FD" w:rsidR="007D55F5" w:rsidRDefault="007D55F5" w:rsidP="00D53809">
      <w:pPr>
        <w:tabs>
          <w:tab w:val="left" w:pos="709"/>
        </w:tabs>
        <w:ind w:left="426" w:hanging="426"/>
        <w:rPr>
          <w:rFonts w:cstheme="minorHAnsi"/>
          <w:b/>
        </w:rPr>
      </w:pPr>
    </w:p>
    <w:p w14:paraId="3FCA0F0E" w14:textId="2877A7FB" w:rsidR="006708F8" w:rsidRDefault="006708F8">
      <w:pPr>
        <w:rPr>
          <w:rFonts w:cstheme="minorHAnsi"/>
          <w:b/>
        </w:rPr>
      </w:pPr>
    </w:p>
    <w:p w14:paraId="1174027B" w14:textId="4E78B05A" w:rsidR="00B86144" w:rsidRDefault="00B86144">
      <w:pPr>
        <w:rPr>
          <w:rFonts w:cstheme="minorHAnsi"/>
          <w:b/>
        </w:rPr>
      </w:pPr>
    </w:p>
    <w:p w14:paraId="07125154" w14:textId="68BA28AE" w:rsidR="00B86144" w:rsidRDefault="00B86144">
      <w:pPr>
        <w:rPr>
          <w:rFonts w:cstheme="minorHAnsi"/>
          <w:b/>
        </w:rPr>
      </w:pPr>
    </w:p>
    <w:p w14:paraId="48B7805D" w14:textId="79506069" w:rsidR="00B86144" w:rsidRDefault="00B86144">
      <w:pPr>
        <w:rPr>
          <w:rFonts w:cstheme="minorHAnsi"/>
          <w:b/>
        </w:rPr>
      </w:pPr>
    </w:p>
    <w:p w14:paraId="1B8F99FD" w14:textId="505A3F88" w:rsidR="00B86144" w:rsidRDefault="00B86144">
      <w:pPr>
        <w:rPr>
          <w:rFonts w:cstheme="minorHAnsi"/>
          <w:b/>
        </w:rPr>
      </w:pPr>
    </w:p>
    <w:p w14:paraId="31441987" w14:textId="3C4CA218" w:rsidR="00B86144" w:rsidRDefault="00B86144">
      <w:pPr>
        <w:rPr>
          <w:rFonts w:cstheme="minorHAnsi"/>
          <w:b/>
        </w:rPr>
      </w:pPr>
    </w:p>
    <w:p w14:paraId="62F34C8E" w14:textId="7D04D963" w:rsidR="00B86144" w:rsidRDefault="00B86144">
      <w:pPr>
        <w:rPr>
          <w:rFonts w:cstheme="minorHAnsi"/>
          <w:b/>
        </w:rPr>
      </w:pPr>
    </w:p>
    <w:p w14:paraId="3E14B236" w14:textId="62996889" w:rsidR="00B86144" w:rsidRDefault="00B86144">
      <w:pPr>
        <w:rPr>
          <w:rFonts w:cstheme="minorHAnsi"/>
          <w:b/>
        </w:rPr>
      </w:pPr>
    </w:p>
    <w:p w14:paraId="324C409D" w14:textId="131746B5" w:rsidR="00B86144" w:rsidRDefault="00B86144">
      <w:pPr>
        <w:rPr>
          <w:rFonts w:cstheme="minorHAnsi"/>
          <w:b/>
        </w:rPr>
      </w:pPr>
    </w:p>
    <w:p w14:paraId="7F0047E5" w14:textId="20733F81" w:rsidR="00B86144" w:rsidRDefault="00B86144">
      <w:pPr>
        <w:rPr>
          <w:rFonts w:cstheme="minorHAnsi"/>
          <w:b/>
        </w:rPr>
      </w:pPr>
    </w:p>
    <w:p w14:paraId="0057FC21" w14:textId="5A00AEAC" w:rsidR="00B86144" w:rsidRDefault="00B86144">
      <w:pPr>
        <w:rPr>
          <w:rFonts w:cstheme="minorHAnsi"/>
          <w:b/>
        </w:rPr>
      </w:pPr>
    </w:p>
    <w:p w14:paraId="6739DD24" w14:textId="63101C54" w:rsidR="00B86144" w:rsidRDefault="00B86144">
      <w:pPr>
        <w:rPr>
          <w:rFonts w:cstheme="minorHAnsi"/>
          <w:b/>
        </w:rPr>
      </w:pPr>
    </w:p>
    <w:p w14:paraId="7C1BB467" w14:textId="77777777" w:rsidR="00B86144" w:rsidRDefault="00B86144">
      <w:pPr>
        <w:rPr>
          <w:rFonts w:cstheme="minorHAnsi"/>
          <w:b/>
        </w:rPr>
      </w:pPr>
    </w:p>
    <w:tbl>
      <w:tblPr>
        <w:tblStyle w:val="TableGrid"/>
        <w:tblW w:w="0" w:type="auto"/>
        <w:tblInd w:w="171" w:type="dxa"/>
        <w:tblLook w:val="04A0" w:firstRow="1" w:lastRow="0" w:firstColumn="1" w:lastColumn="0" w:noHBand="0" w:noVBand="1"/>
      </w:tblPr>
      <w:tblGrid>
        <w:gridCol w:w="8845"/>
      </w:tblGrid>
      <w:tr w:rsidR="006708F8" w14:paraId="1BA1E281" w14:textId="77777777" w:rsidTr="1699BAB1">
        <w:tc>
          <w:tcPr>
            <w:tcW w:w="9016" w:type="dxa"/>
          </w:tcPr>
          <w:p w14:paraId="45B06866" w14:textId="63CA5C78" w:rsidR="006708F8" w:rsidRPr="006708F8" w:rsidRDefault="51E47C3F" w:rsidP="1699BAB1">
            <w:pPr>
              <w:spacing w:before="240"/>
              <w:ind w:left="171" w:right="136"/>
              <w:rPr>
                <w:rFonts w:eastAsia="Times New Roman"/>
                <w:b/>
                <w:bCs/>
              </w:rPr>
            </w:pPr>
            <w:r w:rsidRPr="1699BAB1">
              <w:rPr>
                <w:rFonts w:eastAsia="Times New Roman"/>
                <w:b/>
                <w:bCs/>
              </w:rPr>
              <w:t>Terms &amp; Definitions: Capitalised terms used in this</w:t>
            </w:r>
            <w:r w:rsidR="7441CD1B" w:rsidRPr="1699BAB1">
              <w:rPr>
                <w:rFonts w:eastAsia="Times New Roman"/>
                <w:b/>
                <w:bCs/>
              </w:rPr>
              <w:t xml:space="preserve"> </w:t>
            </w:r>
            <w:r w:rsidR="3CBD139E" w:rsidRPr="1699BAB1">
              <w:rPr>
                <w:rFonts w:eastAsia="Times New Roman"/>
                <w:b/>
                <w:bCs/>
              </w:rPr>
              <w:t xml:space="preserve">Hampshire </w:t>
            </w:r>
            <w:r w:rsidR="43263A60" w:rsidRPr="1699BAB1">
              <w:rPr>
                <w:rFonts w:eastAsia="Times New Roman"/>
                <w:b/>
                <w:bCs/>
              </w:rPr>
              <w:t xml:space="preserve">&amp; </w:t>
            </w:r>
            <w:r w:rsidR="3CBD139E" w:rsidRPr="1699BAB1">
              <w:rPr>
                <w:rFonts w:eastAsia="Times New Roman"/>
                <w:b/>
                <w:bCs/>
              </w:rPr>
              <w:t>Isle of Wight Constabulary</w:t>
            </w:r>
            <w:r w:rsidRPr="1699BAB1">
              <w:rPr>
                <w:rFonts w:eastAsia="Times New Roman"/>
                <w:b/>
                <w:bCs/>
              </w:rPr>
              <w:t xml:space="preserve"> </w:t>
            </w:r>
            <w:r w:rsidR="3CBD139E" w:rsidRPr="1699BAB1">
              <w:rPr>
                <w:rFonts w:eastAsia="Times New Roman"/>
                <w:b/>
                <w:bCs/>
              </w:rPr>
              <w:t xml:space="preserve">(HIOWC) </w:t>
            </w:r>
            <w:r w:rsidRPr="1699BAB1">
              <w:rPr>
                <w:rFonts w:eastAsia="Times New Roman"/>
                <w:b/>
                <w:bCs/>
              </w:rPr>
              <w:t xml:space="preserve">LFR </w:t>
            </w:r>
            <w:r w:rsidR="00D07CB8" w:rsidRPr="1699BAB1">
              <w:rPr>
                <w:rFonts w:eastAsia="Times New Roman"/>
                <w:b/>
                <w:bCs/>
              </w:rPr>
              <w:t>Legal Mandate</w:t>
            </w:r>
            <w:r w:rsidRPr="1699BAB1">
              <w:rPr>
                <w:rFonts w:eastAsia="Times New Roman"/>
                <w:b/>
                <w:bCs/>
              </w:rPr>
              <w:t xml:space="preserve"> shall have the meaning given to them in the </w:t>
            </w:r>
            <w:r w:rsidR="3CBD139E" w:rsidRPr="1699BAB1">
              <w:rPr>
                <w:rFonts w:eastAsia="Times New Roman"/>
                <w:b/>
                <w:bCs/>
              </w:rPr>
              <w:t>HIOWC</w:t>
            </w:r>
            <w:r w:rsidRPr="1699BAB1">
              <w:rPr>
                <w:rFonts w:eastAsia="Times New Roman"/>
                <w:b/>
                <w:bCs/>
              </w:rPr>
              <w:t xml:space="preserve"> LFR </w:t>
            </w:r>
            <w:r w:rsidR="08B12650" w:rsidRPr="1699BAB1">
              <w:rPr>
                <w:rFonts w:eastAsia="Times New Roman"/>
                <w:b/>
                <w:bCs/>
              </w:rPr>
              <w:t xml:space="preserve">Policy </w:t>
            </w:r>
            <w:r w:rsidRPr="1699BAB1">
              <w:rPr>
                <w:rFonts w:eastAsia="Times New Roman"/>
                <w:b/>
                <w:bCs/>
              </w:rPr>
              <w:t xml:space="preserve">Document unless otherwise defined in this </w:t>
            </w:r>
            <w:r w:rsidR="00B22833" w:rsidRPr="1699BAB1">
              <w:rPr>
                <w:rFonts w:eastAsia="Times New Roman"/>
                <w:b/>
                <w:bCs/>
              </w:rPr>
              <w:t>HIOWC</w:t>
            </w:r>
            <w:r w:rsidR="51E012BF" w:rsidRPr="1699BAB1">
              <w:rPr>
                <w:rFonts w:eastAsia="Times New Roman"/>
                <w:b/>
                <w:bCs/>
              </w:rPr>
              <w:t xml:space="preserve"> </w:t>
            </w:r>
            <w:r w:rsidRPr="1699BAB1">
              <w:rPr>
                <w:rFonts w:eastAsia="Times New Roman"/>
                <w:b/>
                <w:bCs/>
              </w:rPr>
              <w:t xml:space="preserve">LFR </w:t>
            </w:r>
            <w:r w:rsidR="00D07CB8" w:rsidRPr="1699BAB1">
              <w:rPr>
                <w:rFonts w:eastAsia="Times New Roman"/>
                <w:b/>
                <w:bCs/>
              </w:rPr>
              <w:t>Legal Mandate</w:t>
            </w:r>
            <w:r w:rsidRPr="1699BAB1">
              <w:rPr>
                <w:rFonts w:eastAsia="Times New Roman"/>
                <w:b/>
                <w:bCs/>
              </w:rPr>
              <w:t>.</w:t>
            </w:r>
            <w:r w:rsidR="006708F8">
              <w:br/>
            </w:r>
          </w:p>
        </w:tc>
      </w:tr>
    </w:tbl>
    <w:p w14:paraId="2C7B3359" w14:textId="35022D18" w:rsidR="00B86144" w:rsidRDefault="00B86144" w:rsidP="006708F8">
      <w:pPr>
        <w:ind w:left="171" w:right="136"/>
        <w:rPr>
          <w:rFonts w:eastAsia="Times New Roman"/>
        </w:rPr>
      </w:pPr>
    </w:p>
    <w:p w14:paraId="53BC5C98" w14:textId="753008DA" w:rsidR="008C28DA" w:rsidRDefault="00B86144" w:rsidP="00B86144">
      <w:pPr>
        <w:spacing w:line="259" w:lineRule="auto"/>
        <w:rPr>
          <w:rFonts w:eastAsia="Times New Roman"/>
        </w:rPr>
      </w:pPr>
      <w:r>
        <w:rPr>
          <w:rFonts w:eastAsia="Times New Roman"/>
        </w:rPr>
        <w:br w:type="page"/>
      </w:r>
    </w:p>
    <w:bookmarkStart w:id="0" w:name="Sec2"/>
    <w:p w14:paraId="1E74AAFA" w14:textId="72E207CB" w:rsidR="00B8016E" w:rsidRPr="004858D7" w:rsidRDefault="007D55F5" w:rsidP="1699BAB1">
      <w:pPr>
        <w:pStyle w:val="LFRHeading1"/>
        <w:numPr>
          <w:ilvl w:val="0"/>
          <w:numId w:val="0"/>
        </w:numPr>
        <w:rPr>
          <w:sz w:val="28"/>
          <w:szCs w:val="28"/>
        </w:rPr>
      </w:pPr>
      <w:r w:rsidRPr="1699BAB1">
        <w:rPr>
          <w:sz w:val="28"/>
          <w:szCs w:val="28"/>
        </w:rPr>
        <w:lastRenderedPageBreak/>
        <w:fldChar w:fldCharType="begin"/>
      </w:r>
      <w:r w:rsidRPr="1699BAB1">
        <w:rPr>
          <w:sz w:val="28"/>
          <w:szCs w:val="28"/>
        </w:rPr>
        <w:instrText xml:space="preserve"> HYPERLINK "file:///C:\\Users\\c741358\\AppData\\Local\\Microsoft\\Windows\\INetCache\\Content.Outlook\\3NB5RX0D\\D%2020-01-16%20LFR%20DPIA%20Comments%20(002).docx" \l "Sect1" </w:instrText>
      </w:r>
      <w:r w:rsidRPr="1699BAB1">
        <w:rPr>
          <w:sz w:val="28"/>
          <w:szCs w:val="28"/>
        </w:rPr>
      </w:r>
      <w:r w:rsidRPr="1699BAB1">
        <w:rPr>
          <w:sz w:val="28"/>
          <w:szCs w:val="28"/>
        </w:rPr>
        <w:fldChar w:fldCharType="separate"/>
      </w:r>
      <w:bookmarkStart w:id="1" w:name="_Toc86660203"/>
      <w:bookmarkStart w:id="2" w:name="_Toc30160839"/>
      <w:r w:rsidRPr="1699BAB1">
        <w:rPr>
          <w:rStyle w:val="Hyperlink"/>
          <w:color w:val="auto"/>
          <w:sz w:val="28"/>
          <w:szCs w:val="28"/>
          <w:u w:val="none"/>
        </w:rPr>
        <w:t>INTRODUCTION</w:t>
      </w:r>
      <w:bookmarkEnd w:id="1"/>
      <w:bookmarkEnd w:id="2"/>
      <w:r w:rsidRPr="1699BAB1">
        <w:rPr>
          <w:sz w:val="28"/>
          <w:szCs w:val="28"/>
        </w:rPr>
        <w:fldChar w:fldCharType="end"/>
      </w:r>
      <w:r w:rsidRPr="1699BAB1">
        <w:rPr>
          <w:sz w:val="28"/>
          <w:szCs w:val="28"/>
        </w:rPr>
        <w:t xml:space="preserve"> </w:t>
      </w:r>
    </w:p>
    <w:bookmarkEnd w:id="0"/>
    <w:p w14:paraId="7414F71A" w14:textId="044B43B5" w:rsidR="00033133" w:rsidRDefault="00D07CB8" w:rsidP="00D07CB8">
      <w:pPr>
        <w:pStyle w:val="LFRNumberedBodyText"/>
      </w:pPr>
      <w:r>
        <w:t>LFR for law enforcement purposes is not subject to dedicated primary legislation.  LFR is regulated by a number of sources of primary</w:t>
      </w:r>
      <w:r w:rsidR="00540381">
        <w:t xml:space="preserve"> and secondary </w:t>
      </w:r>
      <w:r>
        <w:t>legislation</w:t>
      </w:r>
      <w:r w:rsidR="00970656">
        <w:t>, jurisprudence,</w:t>
      </w:r>
      <w:r w:rsidR="00540381">
        <w:t xml:space="preserve"> as well as both national and local policy.  This ‘tapestry’ of </w:t>
      </w:r>
      <w:r w:rsidR="00970656">
        <w:t>sources</w:t>
      </w:r>
      <w:r w:rsidR="00540381">
        <w:t xml:space="preserve"> combine to provide a multi-layered legal structure to use and regulate the use of LFR</w:t>
      </w:r>
      <w:r w:rsidR="00566141">
        <w:t>, the LFR Legal Framewor</w:t>
      </w:r>
      <w:r w:rsidR="008A221C">
        <w:t xml:space="preserve">k, much of which will be proactively published to comply with the principles of transparency and fairness. </w:t>
      </w:r>
    </w:p>
    <w:tbl>
      <w:tblPr>
        <w:tblStyle w:val="TableGrid"/>
        <w:tblW w:w="8440" w:type="dxa"/>
        <w:tblInd w:w="576" w:type="dxa"/>
        <w:tblLook w:val="04A0" w:firstRow="1" w:lastRow="0" w:firstColumn="1" w:lastColumn="0" w:noHBand="0" w:noVBand="1"/>
      </w:tblPr>
      <w:tblGrid>
        <w:gridCol w:w="1605"/>
        <w:gridCol w:w="2490"/>
        <w:gridCol w:w="4345"/>
      </w:tblGrid>
      <w:tr w:rsidR="00033133" w14:paraId="5A629AE0" w14:textId="77777777" w:rsidTr="1699BAB1">
        <w:trPr>
          <w:trHeight w:val="1093"/>
        </w:trPr>
        <w:tc>
          <w:tcPr>
            <w:tcW w:w="1605" w:type="dxa"/>
            <w:vMerge w:val="restart"/>
          </w:tcPr>
          <w:p w14:paraId="5984604F" w14:textId="17518E89" w:rsidR="00033133" w:rsidRPr="00E0370F" w:rsidRDefault="009270B1" w:rsidP="001253A2">
            <w:pPr>
              <w:pStyle w:val="LFRNumberedBodyText"/>
              <w:numPr>
                <w:ilvl w:val="0"/>
                <w:numId w:val="0"/>
              </w:numPr>
              <w:jc w:val="left"/>
            </w:pPr>
            <w:bookmarkStart w:id="3" w:name="_Hlk69803785"/>
            <w:r w:rsidRPr="00E0370F">
              <w:t xml:space="preserve">Tier one: </w:t>
            </w:r>
            <w:r w:rsidR="00033133" w:rsidRPr="00E0370F">
              <w:t>Legislation</w:t>
            </w:r>
            <w:r w:rsidR="009A3BC8">
              <w:t xml:space="preserve"> &amp; Jurisprudence </w:t>
            </w:r>
          </w:p>
        </w:tc>
        <w:tc>
          <w:tcPr>
            <w:tcW w:w="2490" w:type="dxa"/>
          </w:tcPr>
          <w:p w14:paraId="466FA299" w14:textId="21C21933" w:rsidR="00033133" w:rsidRPr="00E0370F" w:rsidRDefault="00033133" w:rsidP="001253A2">
            <w:pPr>
              <w:pStyle w:val="LFRNumberedBodyText"/>
              <w:numPr>
                <w:ilvl w:val="0"/>
                <w:numId w:val="0"/>
              </w:numPr>
            </w:pPr>
            <w:r w:rsidRPr="00E0370F">
              <w:t>Legal Power to use LFR</w:t>
            </w:r>
          </w:p>
        </w:tc>
        <w:tc>
          <w:tcPr>
            <w:tcW w:w="4345" w:type="dxa"/>
          </w:tcPr>
          <w:p w14:paraId="334ABCA3" w14:textId="740EFE6B" w:rsidR="00033133" w:rsidRPr="00E0370F" w:rsidRDefault="00033133" w:rsidP="00E0370F">
            <w:pPr>
              <w:pStyle w:val="LFRNumberedBodyText"/>
              <w:numPr>
                <w:ilvl w:val="0"/>
                <w:numId w:val="31"/>
              </w:numPr>
              <w:rPr>
                <w:sz w:val="16"/>
                <w:szCs w:val="16"/>
              </w:rPr>
            </w:pPr>
            <w:r w:rsidRPr="00E0370F">
              <w:rPr>
                <w:sz w:val="16"/>
                <w:szCs w:val="16"/>
              </w:rPr>
              <w:t>Common Law</w:t>
            </w:r>
            <w:r w:rsidR="009A3BC8">
              <w:rPr>
                <w:sz w:val="16"/>
                <w:szCs w:val="16"/>
              </w:rPr>
              <w:t xml:space="preserve"> (including </w:t>
            </w:r>
            <w:r w:rsidR="009A3BC8" w:rsidRPr="006B3CB0">
              <w:rPr>
                <w:sz w:val="16"/>
                <w:szCs w:val="16"/>
              </w:rPr>
              <w:t>R (On the application of Edward BRIDGES) v (1) The Chief Constable of South Wales Police and (2) The Secretary of State for the Home Department and others [2020] EWCA Civ 1058</w:t>
            </w:r>
            <w:r w:rsidR="009A3BC8">
              <w:rPr>
                <w:sz w:val="16"/>
                <w:szCs w:val="16"/>
              </w:rPr>
              <w:t>)</w:t>
            </w:r>
          </w:p>
          <w:p w14:paraId="43BD90A3" w14:textId="63B7A877" w:rsidR="00D1662C" w:rsidRPr="00E0370F" w:rsidRDefault="00D1662C" w:rsidP="00E0370F">
            <w:pPr>
              <w:pStyle w:val="LFRNumberedBodyText"/>
              <w:numPr>
                <w:ilvl w:val="0"/>
                <w:numId w:val="31"/>
              </w:numPr>
              <w:rPr>
                <w:sz w:val="16"/>
                <w:szCs w:val="16"/>
              </w:rPr>
            </w:pPr>
            <w:r w:rsidRPr="00E0370F">
              <w:rPr>
                <w:sz w:val="16"/>
                <w:szCs w:val="16"/>
              </w:rPr>
              <w:t>Police and Criminal Evidence Act 1984 Code D (revised)</w:t>
            </w:r>
          </w:p>
        </w:tc>
      </w:tr>
      <w:tr w:rsidR="00033133" w14:paraId="20632AF3" w14:textId="77777777" w:rsidTr="1699BAB1">
        <w:tc>
          <w:tcPr>
            <w:tcW w:w="1605" w:type="dxa"/>
            <w:vMerge/>
          </w:tcPr>
          <w:p w14:paraId="13DC5F2A" w14:textId="77777777" w:rsidR="00033133" w:rsidRPr="00E0370F" w:rsidRDefault="00033133" w:rsidP="001253A2">
            <w:pPr>
              <w:pStyle w:val="LFRNumberedBodyText"/>
              <w:numPr>
                <w:ilvl w:val="0"/>
                <w:numId w:val="0"/>
              </w:numPr>
            </w:pPr>
          </w:p>
        </w:tc>
        <w:tc>
          <w:tcPr>
            <w:tcW w:w="2490" w:type="dxa"/>
          </w:tcPr>
          <w:p w14:paraId="083B954B" w14:textId="44A9D39D" w:rsidR="00033133" w:rsidRPr="00E0370F" w:rsidRDefault="00033133" w:rsidP="001253A2">
            <w:pPr>
              <w:pStyle w:val="LFRNumberedBodyText"/>
              <w:numPr>
                <w:ilvl w:val="0"/>
                <w:numId w:val="0"/>
              </w:numPr>
            </w:pPr>
            <w:r w:rsidRPr="00E0370F">
              <w:t>Regulating the use of LFR</w:t>
            </w:r>
          </w:p>
        </w:tc>
        <w:tc>
          <w:tcPr>
            <w:tcW w:w="4345" w:type="dxa"/>
          </w:tcPr>
          <w:p w14:paraId="605DA003" w14:textId="77777777" w:rsidR="00033133" w:rsidRPr="00E0370F" w:rsidRDefault="00033133" w:rsidP="00E0370F">
            <w:pPr>
              <w:pStyle w:val="LFRNumberedBodyText"/>
              <w:numPr>
                <w:ilvl w:val="0"/>
                <w:numId w:val="0"/>
              </w:numPr>
              <w:rPr>
                <w:b/>
                <w:bCs/>
                <w:sz w:val="16"/>
                <w:szCs w:val="16"/>
              </w:rPr>
            </w:pPr>
            <w:r w:rsidRPr="00E0370F">
              <w:rPr>
                <w:b/>
                <w:bCs/>
                <w:sz w:val="16"/>
                <w:szCs w:val="16"/>
              </w:rPr>
              <w:t>Operational</w:t>
            </w:r>
          </w:p>
          <w:p w14:paraId="2F24302B" w14:textId="77777777" w:rsidR="00033133" w:rsidRPr="00E0370F" w:rsidRDefault="00033133" w:rsidP="00E0370F">
            <w:pPr>
              <w:pStyle w:val="LFRNumberedBodyText"/>
              <w:numPr>
                <w:ilvl w:val="0"/>
                <w:numId w:val="0"/>
              </w:numPr>
              <w:rPr>
                <w:sz w:val="16"/>
                <w:szCs w:val="16"/>
              </w:rPr>
            </w:pPr>
            <w:r w:rsidRPr="00E0370F">
              <w:rPr>
                <w:sz w:val="16"/>
                <w:szCs w:val="16"/>
              </w:rPr>
              <w:t>b) Human Rights Act 1998</w:t>
            </w:r>
          </w:p>
          <w:p w14:paraId="17630087" w14:textId="33BC1712" w:rsidR="00033133" w:rsidRPr="00E0370F" w:rsidRDefault="00033133" w:rsidP="00E0370F">
            <w:pPr>
              <w:pStyle w:val="LFRNumberedBodyText"/>
              <w:numPr>
                <w:ilvl w:val="0"/>
                <w:numId w:val="0"/>
              </w:numPr>
              <w:rPr>
                <w:sz w:val="16"/>
                <w:szCs w:val="16"/>
              </w:rPr>
            </w:pPr>
            <w:r w:rsidRPr="00E0370F">
              <w:rPr>
                <w:sz w:val="16"/>
                <w:szCs w:val="16"/>
              </w:rPr>
              <w:t>c) Equality Act 2010</w:t>
            </w:r>
          </w:p>
          <w:p w14:paraId="777E3A41" w14:textId="1A1A05E2" w:rsidR="00033133" w:rsidRPr="00E0370F" w:rsidRDefault="00033133" w:rsidP="00E0370F">
            <w:pPr>
              <w:pStyle w:val="LFRNumberedBodyText"/>
              <w:numPr>
                <w:ilvl w:val="0"/>
                <w:numId w:val="0"/>
              </w:numPr>
              <w:rPr>
                <w:b/>
                <w:bCs/>
                <w:sz w:val="16"/>
                <w:szCs w:val="16"/>
              </w:rPr>
            </w:pPr>
            <w:r w:rsidRPr="00E0370F">
              <w:rPr>
                <w:b/>
                <w:bCs/>
                <w:sz w:val="16"/>
                <w:szCs w:val="16"/>
              </w:rPr>
              <w:t>Data Management</w:t>
            </w:r>
          </w:p>
          <w:p w14:paraId="0F517B89" w14:textId="002E7BC7" w:rsidR="00033133" w:rsidRDefault="00033133" w:rsidP="00E0370F">
            <w:pPr>
              <w:pStyle w:val="LFRNumberedBodyText"/>
              <w:numPr>
                <w:ilvl w:val="0"/>
                <w:numId w:val="0"/>
              </w:numPr>
              <w:rPr>
                <w:sz w:val="16"/>
                <w:szCs w:val="16"/>
              </w:rPr>
            </w:pPr>
            <w:r w:rsidRPr="00E0370F">
              <w:rPr>
                <w:sz w:val="16"/>
                <w:szCs w:val="16"/>
              </w:rPr>
              <w:t>d) Data Protection Act</w:t>
            </w:r>
            <w:r w:rsidR="00834CB9" w:rsidRPr="00E0370F">
              <w:rPr>
                <w:sz w:val="16"/>
                <w:szCs w:val="16"/>
              </w:rPr>
              <w:t xml:space="preserve"> 2018</w:t>
            </w:r>
            <w:r w:rsidR="0097369B">
              <w:rPr>
                <w:sz w:val="16"/>
                <w:szCs w:val="16"/>
              </w:rPr>
              <w:t xml:space="preserve"> (Part 3)</w:t>
            </w:r>
          </w:p>
          <w:p w14:paraId="67E3A276" w14:textId="5B24909C" w:rsidR="0097369B" w:rsidRPr="00E0370F" w:rsidRDefault="0097369B" w:rsidP="00E0370F">
            <w:pPr>
              <w:pStyle w:val="LFRNumberedBodyText"/>
              <w:numPr>
                <w:ilvl w:val="0"/>
                <w:numId w:val="0"/>
              </w:numPr>
              <w:rPr>
                <w:sz w:val="16"/>
                <w:szCs w:val="16"/>
              </w:rPr>
            </w:pPr>
            <w:r>
              <w:rPr>
                <w:sz w:val="16"/>
                <w:szCs w:val="16"/>
              </w:rPr>
              <w:t xml:space="preserve">e) UK </w:t>
            </w:r>
            <w:r w:rsidRPr="00E0370F">
              <w:rPr>
                <w:sz w:val="16"/>
                <w:szCs w:val="16"/>
              </w:rPr>
              <w:t>General Data Protection Regulation</w:t>
            </w:r>
          </w:p>
          <w:p w14:paraId="70DB1936" w14:textId="124F41E2" w:rsidR="00033133" w:rsidRPr="00E0370F" w:rsidRDefault="0097369B" w:rsidP="00E0370F">
            <w:pPr>
              <w:pStyle w:val="LFRNumberedBodyText"/>
              <w:numPr>
                <w:ilvl w:val="0"/>
                <w:numId w:val="0"/>
              </w:numPr>
              <w:rPr>
                <w:sz w:val="16"/>
                <w:szCs w:val="16"/>
              </w:rPr>
            </w:pPr>
            <w:r>
              <w:rPr>
                <w:sz w:val="16"/>
                <w:szCs w:val="16"/>
              </w:rPr>
              <w:t>f</w:t>
            </w:r>
            <w:r w:rsidR="00033133" w:rsidRPr="00E0370F">
              <w:rPr>
                <w:sz w:val="16"/>
                <w:szCs w:val="16"/>
              </w:rPr>
              <w:t>) Protection of Freedoms Act 2012</w:t>
            </w:r>
          </w:p>
        </w:tc>
      </w:tr>
      <w:tr w:rsidR="00033133" w14:paraId="0C77FC54" w14:textId="77777777" w:rsidTr="1699BAB1">
        <w:tc>
          <w:tcPr>
            <w:tcW w:w="1605" w:type="dxa"/>
            <w:vMerge/>
          </w:tcPr>
          <w:p w14:paraId="17736959" w14:textId="77777777" w:rsidR="00033133" w:rsidRPr="00E0370F" w:rsidRDefault="00033133" w:rsidP="001253A2">
            <w:pPr>
              <w:pStyle w:val="LFRNumberedBodyText"/>
              <w:numPr>
                <w:ilvl w:val="0"/>
                <w:numId w:val="0"/>
              </w:numPr>
            </w:pPr>
          </w:p>
        </w:tc>
        <w:tc>
          <w:tcPr>
            <w:tcW w:w="2490" w:type="dxa"/>
          </w:tcPr>
          <w:p w14:paraId="419D303B" w14:textId="370BD4D3" w:rsidR="00033133" w:rsidRPr="00E0370F" w:rsidRDefault="00033133" w:rsidP="000B1D0A">
            <w:pPr>
              <w:pStyle w:val="LFRNumberedBodyText"/>
              <w:numPr>
                <w:ilvl w:val="0"/>
                <w:numId w:val="0"/>
              </w:numPr>
            </w:pPr>
            <w:r w:rsidRPr="00E0370F">
              <w:t>Requests for Information in relation to LFR</w:t>
            </w:r>
          </w:p>
        </w:tc>
        <w:tc>
          <w:tcPr>
            <w:tcW w:w="4345" w:type="dxa"/>
          </w:tcPr>
          <w:p w14:paraId="79906006" w14:textId="059F449D" w:rsidR="00033133" w:rsidRPr="00E0370F" w:rsidRDefault="0097369B" w:rsidP="00E0370F">
            <w:pPr>
              <w:pStyle w:val="LFRNumberedBodyText"/>
              <w:numPr>
                <w:ilvl w:val="0"/>
                <w:numId w:val="0"/>
              </w:numPr>
              <w:rPr>
                <w:sz w:val="16"/>
                <w:szCs w:val="16"/>
              </w:rPr>
            </w:pPr>
            <w:r>
              <w:rPr>
                <w:sz w:val="16"/>
                <w:szCs w:val="16"/>
              </w:rPr>
              <w:t>g</w:t>
            </w:r>
            <w:r w:rsidR="00033133" w:rsidRPr="00E0370F">
              <w:rPr>
                <w:sz w:val="16"/>
                <w:szCs w:val="16"/>
              </w:rPr>
              <w:t>) Freedom of Information Act 2000</w:t>
            </w:r>
          </w:p>
          <w:p w14:paraId="46502A6A" w14:textId="4A17DDC8" w:rsidR="00834CB9" w:rsidRPr="00E0370F" w:rsidRDefault="0097369B" w:rsidP="00E0370F">
            <w:pPr>
              <w:pStyle w:val="LFRNumberedBodyText"/>
              <w:numPr>
                <w:ilvl w:val="0"/>
                <w:numId w:val="0"/>
              </w:numPr>
              <w:rPr>
                <w:sz w:val="16"/>
                <w:szCs w:val="16"/>
              </w:rPr>
            </w:pPr>
            <w:r>
              <w:rPr>
                <w:sz w:val="16"/>
                <w:szCs w:val="16"/>
              </w:rPr>
              <w:t>h</w:t>
            </w:r>
            <w:r w:rsidR="00834CB9" w:rsidRPr="00E0370F">
              <w:rPr>
                <w:sz w:val="16"/>
                <w:szCs w:val="16"/>
              </w:rPr>
              <w:t>) Data Protection Act 2018 (Subject Access Requests)</w:t>
            </w:r>
          </w:p>
        </w:tc>
      </w:tr>
      <w:bookmarkEnd w:id="3"/>
      <w:tr w:rsidR="00732E2A" w14:paraId="0C4A46CC" w14:textId="77777777" w:rsidTr="1699BAB1">
        <w:tc>
          <w:tcPr>
            <w:tcW w:w="1605" w:type="dxa"/>
          </w:tcPr>
          <w:p w14:paraId="5DB689F9" w14:textId="39B0E812" w:rsidR="00732E2A" w:rsidRPr="00E0370F" w:rsidRDefault="009270B1" w:rsidP="001253A2">
            <w:pPr>
              <w:pStyle w:val="LFRNumberedBodyText"/>
              <w:numPr>
                <w:ilvl w:val="0"/>
                <w:numId w:val="0"/>
              </w:numPr>
              <w:jc w:val="left"/>
            </w:pPr>
            <w:r w:rsidRPr="00E0370F">
              <w:t xml:space="preserve">Tier Two: </w:t>
            </w:r>
            <w:r w:rsidR="00732E2A" w:rsidRPr="00E0370F">
              <w:t>Code and Guidance</w:t>
            </w:r>
          </w:p>
        </w:tc>
        <w:tc>
          <w:tcPr>
            <w:tcW w:w="2490" w:type="dxa"/>
          </w:tcPr>
          <w:p w14:paraId="3ED80C98" w14:textId="324BFE04" w:rsidR="00732E2A" w:rsidRPr="00E0370F" w:rsidRDefault="00732E2A" w:rsidP="000B1D0A">
            <w:pPr>
              <w:pStyle w:val="LFRNumberedBodyText"/>
              <w:numPr>
                <w:ilvl w:val="0"/>
                <w:numId w:val="0"/>
              </w:numPr>
            </w:pPr>
            <w:r w:rsidRPr="00E0370F">
              <w:t>Regulating the use of LFR</w:t>
            </w:r>
          </w:p>
        </w:tc>
        <w:tc>
          <w:tcPr>
            <w:tcW w:w="4345" w:type="dxa"/>
          </w:tcPr>
          <w:p w14:paraId="21B24FFF" w14:textId="60232AFE" w:rsidR="00CD5E90" w:rsidRDefault="00732E2A" w:rsidP="00E0370F">
            <w:pPr>
              <w:pStyle w:val="LFRNumberedBodyText"/>
              <w:numPr>
                <w:ilvl w:val="0"/>
                <w:numId w:val="0"/>
              </w:numPr>
              <w:rPr>
                <w:sz w:val="16"/>
                <w:szCs w:val="16"/>
              </w:rPr>
            </w:pPr>
            <w:r w:rsidRPr="00E0370F">
              <w:rPr>
                <w:sz w:val="16"/>
                <w:szCs w:val="16"/>
              </w:rPr>
              <w:t xml:space="preserve">a) </w:t>
            </w:r>
            <w:r w:rsidR="00CD5E90">
              <w:rPr>
                <w:sz w:val="16"/>
                <w:szCs w:val="16"/>
              </w:rPr>
              <w:t xml:space="preserve"> College of Policing Authorised Professional Practice </w:t>
            </w:r>
            <w:r w:rsidR="00B73514">
              <w:rPr>
                <w:sz w:val="16"/>
                <w:szCs w:val="16"/>
              </w:rPr>
              <w:t>Live Facial Recognition</w:t>
            </w:r>
          </w:p>
          <w:p w14:paraId="0B15D033" w14:textId="4B68E2E1" w:rsidR="00732E2A" w:rsidRPr="00E0370F" w:rsidRDefault="00CD5E90" w:rsidP="00E0370F">
            <w:pPr>
              <w:pStyle w:val="LFRNumberedBodyText"/>
              <w:numPr>
                <w:ilvl w:val="0"/>
                <w:numId w:val="0"/>
              </w:numPr>
              <w:rPr>
                <w:sz w:val="16"/>
                <w:szCs w:val="16"/>
              </w:rPr>
            </w:pPr>
            <w:r>
              <w:rPr>
                <w:sz w:val="16"/>
                <w:szCs w:val="16"/>
              </w:rPr>
              <w:t xml:space="preserve">b) </w:t>
            </w:r>
            <w:r w:rsidR="00732E2A" w:rsidRPr="00E0370F">
              <w:rPr>
                <w:sz w:val="16"/>
                <w:szCs w:val="16"/>
              </w:rPr>
              <w:t>Secretary of State’s Surveillance Camera Code of Practi</w:t>
            </w:r>
            <w:r w:rsidR="00BE174A">
              <w:rPr>
                <w:sz w:val="16"/>
                <w:szCs w:val="16"/>
              </w:rPr>
              <w:t>c</w:t>
            </w:r>
            <w:r w:rsidR="00732E2A" w:rsidRPr="00E0370F">
              <w:rPr>
                <w:sz w:val="16"/>
                <w:szCs w:val="16"/>
              </w:rPr>
              <w:t>e</w:t>
            </w:r>
            <w:r w:rsidR="00D47BEB" w:rsidRPr="00E0370F">
              <w:rPr>
                <w:sz w:val="16"/>
                <w:szCs w:val="16"/>
              </w:rPr>
              <w:t>.</w:t>
            </w:r>
          </w:p>
          <w:p w14:paraId="29A465C2" w14:textId="6FA3AD37" w:rsidR="00D47BEB" w:rsidRPr="00E0370F" w:rsidRDefault="00CD5E90" w:rsidP="00E0370F">
            <w:pPr>
              <w:pStyle w:val="LFRNumberedBodyText"/>
              <w:numPr>
                <w:ilvl w:val="0"/>
                <w:numId w:val="0"/>
              </w:numPr>
              <w:rPr>
                <w:sz w:val="16"/>
                <w:szCs w:val="16"/>
              </w:rPr>
            </w:pPr>
            <w:r>
              <w:rPr>
                <w:sz w:val="16"/>
                <w:szCs w:val="16"/>
              </w:rPr>
              <w:t>c</w:t>
            </w:r>
            <w:r w:rsidR="00D47BEB" w:rsidRPr="00E0370F">
              <w:rPr>
                <w:sz w:val="16"/>
                <w:szCs w:val="16"/>
              </w:rPr>
              <w:t>) Guidance issued by the Surveillance Camera Commissioner (Facing the Cam</w:t>
            </w:r>
            <w:r w:rsidR="00B43917">
              <w:rPr>
                <w:sz w:val="16"/>
                <w:szCs w:val="16"/>
              </w:rPr>
              <w:t>e</w:t>
            </w:r>
            <w:r w:rsidR="00D47BEB" w:rsidRPr="00E0370F">
              <w:rPr>
                <w:sz w:val="16"/>
                <w:szCs w:val="16"/>
              </w:rPr>
              <w:t>ra)</w:t>
            </w:r>
          </w:p>
          <w:p w14:paraId="0167F5B8" w14:textId="65E2DDEE" w:rsidR="00D47BEB" w:rsidRPr="00E0370F" w:rsidRDefault="00CD5E90" w:rsidP="00E0370F">
            <w:pPr>
              <w:pStyle w:val="LFRNumberedBodyText"/>
              <w:numPr>
                <w:ilvl w:val="0"/>
                <w:numId w:val="0"/>
              </w:numPr>
              <w:rPr>
                <w:sz w:val="16"/>
                <w:szCs w:val="16"/>
              </w:rPr>
            </w:pPr>
            <w:r>
              <w:rPr>
                <w:sz w:val="16"/>
                <w:szCs w:val="16"/>
              </w:rPr>
              <w:t>d</w:t>
            </w:r>
            <w:r w:rsidR="00D47BEB" w:rsidRPr="00E0370F">
              <w:rPr>
                <w:sz w:val="16"/>
                <w:szCs w:val="16"/>
              </w:rPr>
              <w:t>) Information Commissioner’s Office Code of Practi</w:t>
            </w:r>
            <w:r w:rsidR="003871E2">
              <w:rPr>
                <w:sz w:val="16"/>
                <w:szCs w:val="16"/>
              </w:rPr>
              <w:t>c</w:t>
            </w:r>
            <w:r w:rsidR="00D47BEB" w:rsidRPr="00E0370F">
              <w:rPr>
                <w:sz w:val="16"/>
                <w:szCs w:val="16"/>
              </w:rPr>
              <w:t>e for Surveillance Cameras and associated guidance issued by the Information Commissioner</w:t>
            </w:r>
          </w:p>
        </w:tc>
      </w:tr>
      <w:tr w:rsidR="00732E2A" w14:paraId="214B9856" w14:textId="77777777" w:rsidTr="1699BAB1">
        <w:tc>
          <w:tcPr>
            <w:tcW w:w="1605" w:type="dxa"/>
          </w:tcPr>
          <w:p w14:paraId="188AC75F" w14:textId="181BEB7E" w:rsidR="00732E2A" w:rsidRPr="00E0370F" w:rsidRDefault="009270B1" w:rsidP="001253A2">
            <w:pPr>
              <w:pStyle w:val="LFRNumberedBodyText"/>
              <w:numPr>
                <w:ilvl w:val="0"/>
                <w:numId w:val="0"/>
              </w:numPr>
              <w:jc w:val="left"/>
            </w:pPr>
            <w:r w:rsidRPr="00E0370F">
              <w:t xml:space="preserve">Tier Three: </w:t>
            </w:r>
            <w:r w:rsidR="00B73514">
              <w:t>HIOWC</w:t>
            </w:r>
            <w:r w:rsidRPr="00E0370F">
              <w:t xml:space="preserve"> LFR Documents</w:t>
            </w:r>
          </w:p>
        </w:tc>
        <w:tc>
          <w:tcPr>
            <w:tcW w:w="2490" w:type="dxa"/>
          </w:tcPr>
          <w:p w14:paraId="1F0F3C87" w14:textId="2AB34E60" w:rsidR="00732E2A" w:rsidRPr="00E0370F" w:rsidRDefault="009270B1" w:rsidP="000B1D0A">
            <w:pPr>
              <w:pStyle w:val="LFRNumberedBodyText"/>
              <w:numPr>
                <w:ilvl w:val="0"/>
                <w:numId w:val="0"/>
              </w:numPr>
            </w:pPr>
            <w:r w:rsidRPr="00E0370F">
              <w:t>Regulating the use of LFR</w:t>
            </w:r>
          </w:p>
        </w:tc>
        <w:tc>
          <w:tcPr>
            <w:tcW w:w="4345" w:type="dxa"/>
          </w:tcPr>
          <w:p w14:paraId="315B4525" w14:textId="336BF974" w:rsidR="00732E2A" w:rsidRPr="00E0370F" w:rsidRDefault="006E4E17" w:rsidP="00E0370F">
            <w:pPr>
              <w:pStyle w:val="LFRNumberedBodyText"/>
              <w:numPr>
                <w:ilvl w:val="0"/>
                <w:numId w:val="0"/>
              </w:numPr>
              <w:rPr>
                <w:sz w:val="16"/>
                <w:szCs w:val="16"/>
              </w:rPr>
            </w:pPr>
            <w:r w:rsidRPr="00E0370F">
              <w:rPr>
                <w:sz w:val="16"/>
                <w:szCs w:val="16"/>
              </w:rPr>
              <w:t xml:space="preserve">a) </w:t>
            </w:r>
            <w:r w:rsidR="00B73514">
              <w:rPr>
                <w:sz w:val="16"/>
                <w:szCs w:val="16"/>
              </w:rPr>
              <w:t>HIOWC</w:t>
            </w:r>
            <w:r w:rsidRPr="00E0370F">
              <w:rPr>
                <w:sz w:val="16"/>
                <w:szCs w:val="16"/>
              </w:rPr>
              <w:t xml:space="preserve"> Policy Document</w:t>
            </w:r>
          </w:p>
          <w:p w14:paraId="4A49CB9D" w14:textId="490F1EA8" w:rsidR="006E4E17" w:rsidRPr="00E0370F" w:rsidRDefault="006E4E17" w:rsidP="00E0370F">
            <w:pPr>
              <w:pStyle w:val="LFRNumberedBodyText"/>
              <w:numPr>
                <w:ilvl w:val="0"/>
                <w:numId w:val="0"/>
              </w:numPr>
              <w:rPr>
                <w:sz w:val="16"/>
                <w:szCs w:val="16"/>
              </w:rPr>
            </w:pPr>
            <w:r w:rsidRPr="00E0370F">
              <w:rPr>
                <w:sz w:val="16"/>
                <w:szCs w:val="16"/>
              </w:rPr>
              <w:t xml:space="preserve">b) </w:t>
            </w:r>
            <w:r w:rsidR="00B73514">
              <w:rPr>
                <w:sz w:val="16"/>
                <w:szCs w:val="16"/>
              </w:rPr>
              <w:t>HIOWC</w:t>
            </w:r>
            <w:r w:rsidRPr="00E0370F">
              <w:rPr>
                <w:sz w:val="16"/>
                <w:szCs w:val="16"/>
              </w:rPr>
              <w:t xml:space="preserve"> Standard Operating Procedures</w:t>
            </w:r>
            <w:r w:rsidR="00B73514">
              <w:rPr>
                <w:sz w:val="16"/>
                <w:szCs w:val="16"/>
              </w:rPr>
              <w:t xml:space="preserve"> (SOP)</w:t>
            </w:r>
          </w:p>
          <w:p w14:paraId="3331E73A" w14:textId="57F5B2A4" w:rsidR="00B4676C" w:rsidRDefault="00B43917" w:rsidP="00E0370F">
            <w:pPr>
              <w:pStyle w:val="LFRNumberedBodyText"/>
              <w:numPr>
                <w:ilvl w:val="0"/>
                <w:numId w:val="0"/>
              </w:numPr>
              <w:rPr>
                <w:sz w:val="16"/>
                <w:szCs w:val="16"/>
              </w:rPr>
            </w:pPr>
            <w:r>
              <w:rPr>
                <w:sz w:val="16"/>
                <w:szCs w:val="16"/>
              </w:rPr>
              <w:t>c</w:t>
            </w:r>
            <w:r w:rsidR="00B4676C" w:rsidRPr="00E0370F">
              <w:rPr>
                <w:sz w:val="16"/>
                <w:szCs w:val="16"/>
              </w:rPr>
              <w:t xml:space="preserve">) </w:t>
            </w:r>
            <w:r w:rsidR="00B73514">
              <w:rPr>
                <w:sz w:val="16"/>
                <w:szCs w:val="16"/>
              </w:rPr>
              <w:t xml:space="preserve">HIOWC </w:t>
            </w:r>
            <w:r w:rsidR="00B4676C" w:rsidRPr="00E0370F">
              <w:rPr>
                <w:sz w:val="16"/>
                <w:szCs w:val="16"/>
              </w:rPr>
              <w:t>Data Protection Impact Assessment</w:t>
            </w:r>
          </w:p>
          <w:p w14:paraId="4D466513" w14:textId="258F7606" w:rsidR="00D92587" w:rsidRPr="00E0370F" w:rsidRDefault="00D92587" w:rsidP="00E0370F">
            <w:pPr>
              <w:pStyle w:val="LFRNumberedBodyText"/>
              <w:numPr>
                <w:ilvl w:val="0"/>
                <w:numId w:val="0"/>
              </w:numPr>
              <w:rPr>
                <w:sz w:val="16"/>
                <w:szCs w:val="16"/>
              </w:rPr>
            </w:pPr>
            <w:r>
              <w:rPr>
                <w:sz w:val="16"/>
                <w:szCs w:val="16"/>
              </w:rPr>
              <w:t xml:space="preserve">d) HIOWC Appropriate Policy Document </w:t>
            </w:r>
          </w:p>
          <w:p w14:paraId="75248D54" w14:textId="759B679D" w:rsidR="00B4676C" w:rsidRPr="00E0370F" w:rsidRDefault="00D92587" w:rsidP="00E0370F">
            <w:pPr>
              <w:pStyle w:val="LFRNumberedBodyText"/>
              <w:numPr>
                <w:ilvl w:val="0"/>
                <w:numId w:val="0"/>
              </w:numPr>
              <w:rPr>
                <w:sz w:val="16"/>
                <w:szCs w:val="16"/>
              </w:rPr>
            </w:pPr>
            <w:r>
              <w:rPr>
                <w:sz w:val="16"/>
                <w:szCs w:val="16"/>
              </w:rPr>
              <w:t>e</w:t>
            </w:r>
            <w:r w:rsidR="00B4676C" w:rsidRPr="00E0370F">
              <w:rPr>
                <w:sz w:val="16"/>
                <w:szCs w:val="16"/>
              </w:rPr>
              <w:t xml:space="preserve">) </w:t>
            </w:r>
            <w:r w:rsidR="00B73514">
              <w:rPr>
                <w:sz w:val="16"/>
                <w:szCs w:val="16"/>
              </w:rPr>
              <w:t xml:space="preserve">HIOWC </w:t>
            </w:r>
            <w:r w:rsidR="00B4676C" w:rsidRPr="00E0370F">
              <w:rPr>
                <w:sz w:val="16"/>
                <w:szCs w:val="16"/>
              </w:rPr>
              <w:t>Equality Impact Assessment</w:t>
            </w:r>
          </w:p>
          <w:p w14:paraId="1D94727A" w14:textId="2E87D659" w:rsidR="00B4676C" w:rsidRDefault="00D92587" w:rsidP="00E0370F">
            <w:pPr>
              <w:pStyle w:val="LFRNumberedBodyText"/>
              <w:numPr>
                <w:ilvl w:val="0"/>
                <w:numId w:val="0"/>
              </w:numPr>
              <w:rPr>
                <w:sz w:val="16"/>
                <w:szCs w:val="16"/>
              </w:rPr>
            </w:pPr>
            <w:r>
              <w:rPr>
                <w:sz w:val="16"/>
                <w:szCs w:val="16"/>
              </w:rPr>
              <w:t>f</w:t>
            </w:r>
            <w:r w:rsidR="00B4676C" w:rsidRPr="00E0370F">
              <w:rPr>
                <w:sz w:val="16"/>
                <w:szCs w:val="16"/>
              </w:rPr>
              <w:t xml:space="preserve">) </w:t>
            </w:r>
            <w:r w:rsidR="00B73514">
              <w:rPr>
                <w:sz w:val="16"/>
                <w:szCs w:val="16"/>
              </w:rPr>
              <w:t xml:space="preserve">HIOWC </w:t>
            </w:r>
            <w:r w:rsidR="00B4676C" w:rsidRPr="00E0370F">
              <w:rPr>
                <w:sz w:val="16"/>
                <w:szCs w:val="16"/>
              </w:rPr>
              <w:t>Community Impact Assessment</w:t>
            </w:r>
          </w:p>
          <w:p w14:paraId="282D3ADE" w14:textId="1917C719" w:rsidR="00771D2F" w:rsidRPr="00E0370F" w:rsidRDefault="00D92587" w:rsidP="00E0370F">
            <w:pPr>
              <w:pStyle w:val="LFRNumberedBodyText"/>
              <w:numPr>
                <w:ilvl w:val="0"/>
                <w:numId w:val="0"/>
              </w:numPr>
              <w:rPr>
                <w:sz w:val="16"/>
                <w:szCs w:val="16"/>
              </w:rPr>
            </w:pPr>
            <w:r>
              <w:rPr>
                <w:sz w:val="16"/>
                <w:szCs w:val="16"/>
              </w:rPr>
              <w:t xml:space="preserve">g) HIOWC </w:t>
            </w:r>
            <w:r w:rsidR="00E77A01">
              <w:rPr>
                <w:sz w:val="16"/>
                <w:szCs w:val="16"/>
              </w:rPr>
              <w:t xml:space="preserve">Human Rights Impact Assessment </w:t>
            </w:r>
          </w:p>
          <w:p w14:paraId="5E720FB9" w14:textId="4FFBB830" w:rsidR="00B4676C" w:rsidRDefault="00D92587" w:rsidP="00E0370F">
            <w:pPr>
              <w:pStyle w:val="LFRNumberedBodyText"/>
              <w:numPr>
                <w:ilvl w:val="0"/>
                <w:numId w:val="0"/>
              </w:numPr>
              <w:rPr>
                <w:sz w:val="16"/>
                <w:szCs w:val="16"/>
              </w:rPr>
            </w:pPr>
            <w:r>
              <w:rPr>
                <w:sz w:val="16"/>
                <w:szCs w:val="16"/>
              </w:rPr>
              <w:lastRenderedPageBreak/>
              <w:t>h)</w:t>
            </w:r>
            <w:r w:rsidR="00B4676C" w:rsidRPr="00E0370F">
              <w:rPr>
                <w:sz w:val="16"/>
                <w:szCs w:val="16"/>
              </w:rPr>
              <w:t xml:space="preserve"> </w:t>
            </w:r>
            <w:r w:rsidR="00B73514">
              <w:rPr>
                <w:sz w:val="16"/>
                <w:szCs w:val="16"/>
              </w:rPr>
              <w:t>HIOWC</w:t>
            </w:r>
            <w:r w:rsidR="00B4676C" w:rsidRPr="00E0370F">
              <w:rPr>
                <w:sz w:val="16"/>
                <w:szCs w:val="16"/>
              </w:rPr>
              <w:t xml:space="preserve"> Legal Mandate</w:t>
            </w:r>
          </w:p>
          <w:p w14:paraId="24858E4D" w14:textId="2C117FD5" w:rsidR="00771D2F" w:rsidRDefault="00D92587" w:rsidP="00E0370F">
            <w:pPr>
              <w:pStyle w:val="LFRNumberedBodyText"/>
              <w:numPr>
                <w:ilvl w:val="0"/>
                <w:numId w:val="0"/>
              </w:numPr>
              <w:rPr>
                <w:sz w:val="16"/>
                <w:szCs w:val="16"/>
              </w:rPr>
            </w:pPr>
            <w:r>
              <w:rPr>
                <w:sz w:val="16"/>
                <w:szCs w:val="16"/>
              </w:rPr>
              <w:t>i</w:t>
            </w:r>
            <w:r w:rsidR="00E77A01">
              <w:rPr>
                <w:sz w:val="16"/>
                <w:szCs w:val="16"/>
              </w:rPr>
              <w:t>)</w:t>
            </w:r>
            <w:r w:rsidR="00771D2F">
              <w:rPr>
                <w:sz w:val="16"/>
                <w:szCs w:val="16"/>
              </w:rPr>
              <w:t xml:space="preserve"> HIOWC LFR Application and Authorisation </w:t>
            </w:r>
          </w:p>
          <w:p w14:paraId="67FAF310" w14:textId="70CD59B2" w:rsidR="008A221C" w:rsidRPr="00E0370F" w:rsidRDefault="00D92587" w:rsidP="00E0370F">
            <w:pPr>
              <w:pStyle w:val="LFRNumberedBodyText"/>
              <w:numPr>
                <w:ilvl w:val="0"/>
                <w:numId w:val="0"/>
              </w:numPr>
              <w:rPr>
                <w:sz w:val="16"/>
                <w:szCs w:val="16"/>
              </w:rPr>
            </w:pPr>
            <w:r>
              <w:rPr>
                <w:sz w:val="16"/>
                <w:szCs w:val="16"/>
              </w:rPr>
              <w:t>j</w:t>
            </w:r>
            <w:r w:rsidR="008A221C">
              <w:rPr>
                <w:sz w:val="16"/>
                <w:szCs w:val="16"/>
              </w:rPr>
              <w:t xml:space="preserve">) HIOWC LFR contractual documentation </w:t>
            </w:r>
          </w:p>
        </w:tc>
      </w:tr>
    </w:tbl>
    <w:p w14:paraId="05674D80" w14:textId="3357EF22" w:rsidR="00732E2A" w:rsidRDefault="00732E2A" w:rsidP="00EC2CD0">
      <w:pPr>
        <w:pStyle w:val="Heading1"/>
        <w:numPr>
          <w:ilvl w:val="0"/>
          <w:numId w:val="0"/>
        </w:numPr>
        <w:tabs>
          <w:tab w:val="left" w:pos="6982"/>
        </w:tabs>
      </w:pPr>
    </w:p>
    <w:p w14:paraId="1E26AB72" w14:textId="79E58555" w:rsidR="00110437" w:rsidRPr="004858D7" w:rsidRDefault="00EC2CD0" w:rsidP="1699BAB1">
      <w:pPr>
        <w:pStyle w:val="LFRHeading1"/>
        <w:numPr>
          <w:ilvl w:val="0"/>
          <w:numId w:val="0"/>
        </w:numPr>
        <w:rPr>
          <w:rStyle w:val="Hyperlink"/>
          <w:color w:val="auto"/>
          <w:sz w:val="28"/>
          <w:szCs w:val="28"/>
          <w:u w:val="none"/>
        </w:rPr>
      </w:pPr>
      <w:bookmarkStart w:id="4" w:name="_Toc86660204"/>
      <w:r w:rsidRPr="1699BAB1">
        <w:rPr>
          <w:rStyle w:val="Hyperlink"/>
          <w:rFonts w:eastAsia="MS Mincho"/>
          <w:color w:val="auto"/>
          <w:sz w:val="28"/>
          <w:szCs w:val="28"/>
          <w:u w:val="none"/>
        </w:rPr>
        <w:t>COMMON LAW</w:t>
      </w:r>
      <w:bookmarkEnd w:id="4"/>
    </w:p>
    <w:p w14:paraId="522C1385" w14:textId="0ED9F24D" w:rsidR="00940D45" w:rsidRPr="00940D45" w:rsidRDefault="00940D45" w:rsidP="00940D45">
      <w:pPr>
        <w:pStyle w:val="LFRNumberedBodyText"/>
        <w:rPr>
          <w:rStyle w:val="Hyperlink"/>
          <w:color w:val="auto"/>
          <w:u w:val="none"/>
        </w:rPr>
      </w:pPr>
      <w:r w:rsidRPr="00940D45">
        <w:rPr>
          <w:rStyle w:val="Hyperlink"/>
          <w:rFonts w:eastAsia="MS Mincho"/>
          <w:color w:val="auto"/>
          <w:u w:val="none"/>
        </w:rPr>
        <w:t xml:space="preserve">The police have a number of long-established policing responsibilities and powers derived from common law which have been recognised by the courts.  </w:t>
      </w:r>
      <w:r w:rsidR="00B73514">
        <w:rPr>
          <w:rStyle w:val="Hyperlink"/>
          <w:rFonts w:eastAsia="MS Mincho"/>
          <w:color w:val="auto"/>
          <w:u w:val="none"/>
        </w:rPr>
        <w:t>HIOWC</w:t>
      </w:r>
      <w:r w:rsidRPr="00940D45">
        <w:rPr>
          <w:rStyle w:val="Hyperlink"/>
          <w:rFonts w:eastAsia="MS Mincho"/>
          <w:color w:val="auto"/>
          <w:u w:val="none"/>
        </w:rPr>
        <w:t xml:space="preserve"> is obliged to comply with common law and statutory safeguards in delivering its policing operational duties and relies on common law to discharge a number of its duties.</w:t>
      </w:r>
    </w:p>
    <w:p w14:paraId="7D6F0536" w14:textId="3E1DEE5D" w:rsidR="00940D45" w:rsidRPr="00940D45" w:rsidRDefault="00940D45" w:rsidP="00940D45">
      <w:pPr>
        <w:pStyle w:val="LFRNumberedBodyText"/>
        <w:rPr>
          <w:rStyle w:val="Hyperlink"/>
          <w:color w:val="auto"/>
          <w:u w:val="none"/>
        </w:rPr>
      </w:pPr>
      <w:r w:rsidRPr="00940D45">
        <w:rPr>
          <w:rStyle w:val="Hyperlink"/>
          <w:rFonts w:eastAsia="MS Mincho"/>
          <w:bCs/>
          <w:color w:val="auto"/>
          <w:u w:val="none"/>
        </w:rPr>
        <w:t xml:space="preserve">Key common law powers </w:t>
      </w:r>
      <w:r w:rsidR="00B73514">
        <w:rPr>
          <w:rStyle w:val="Hyperlink"/>
          <w:rFonts w:eastAsia="MS Mincho"/>
          <w:bCs/>
          <w:color w:val="auto"/>
          <w:u w:val="none"/>
        </w:rPr>
        <w:t>HIOWC</w:t>
      </w:r>
      <w:r w:rsidRPr="00940D45">
        <w:rPr>
          <w:rStyle w:val="Hyperlink"/>
          <w:rFonts w:eastAsia="MS Mincho"/>
          <w:bCs/>
          <w:color w:val="auto"/>
          <w:u w:val="none"/>
        </w:rPr>
        <w:t xml:space="preserve"> may rely on when utilising LFR technology include the policing common law powers to:</w:t>
      </w:r>
    </w:p>
    <w:p w14:paraId="2727DFC2" w14:textId="77777777" w:rsidR="00940D45" w:rsidRDefault="00940D45" w:rsidP="00940D45">
      <w:pPr>
        <w:pStyle w:val="LFRHeading1"/>
        <w:numPr>
          <w:ilvl w:val="0"/>
          <w:numId w:val="0"/>
        </w:numPr>
        <w:ind w:left="432"/>
        <w:rPr>
          <w:rStyle w:val="Hyperlink"/>
          <w:rFonts w:eastAsia="MS Mincho"/>
          <w:b w:val="0"/>
          <w:bCs/>
          <w:color w:val="auto"/>
          <w:sz w:val="22"/>
          <w:u w:val="none"/>
        </w:rPr>
      </w:pPr>
      <w:bookmarkStart w:id="5" w:name="_Toc71884482"/>
      <w:bookmarkStart w:id="6" w:name="_Toc86654312"/>
      <w:bookmarkStart w:id="7" w:name="_Toc86660205"/>
      <w:r>
        <w:rPr>
          <w:rStyle w:val="Hyperlink"/>
          <w:rFonts w:eastAsia="MS Mincho"/>
          <w:b w:val="0"/>
          <w:bCs/>
          <w:color w:val="auto"/>
          <w:sz w:val="22"/>
          <w:u w:val="none"/>
        </w:rPr>
        <w:t>(a) protect life and property;</w:t>
      </w:r>
      <w:bookmarkEnd w:id="5"/>
      <w:bookmarkEnd w:id="6"/>
      <w:bookmarkEnd w:id="7"/>
    </w:p>
    <w:p w14:paraId="3FBFCD26" w14:textId="77777777" w:rsidR="00940D45" w:rsidRDefault="00940D45" w:rsidP="00940D45">
      <w:pPr>
        <w:pStyle w:val="LFRHeading1"/>
        <w:numPr>
          <w:ilvl w:val="0"/>
          <w:numId w:val="0"/>
        </w:numPr>
        <w:ind w:left="432"/>
        <w:rPr>
          <w:rStyle w:val="Hyperlink"/>
          <w:rFonts w:eastAsia="MS Mincho"/>
          <w:b w:val="0"/>
          <w:bCs/>
          <w:color w:val="auto"/>
          <w:sz w:val="22"/>
          <w:u w:val="none"/>
        </w:rPr>
      </w:pPr>
      <w:bookmarkStart w:id="8" w:name="_Toc71884483"/>
      <w:bookmarkStart w:id="9" w:name="_Toc86654313"/>
      <w:bookmarkStart w:id="10" w:name="_Toc86660206"/>
      <w:r>
        <w:rPr>
          <w:rStyle w:val="Hyperlink"/>
          <w:rFonts w:eastAsia="MS Mincho"/>
          <w:b w:val="0"/>
          <w:bCs/>
          <w:color w:val="auto"/>
          <w:sz w:val="22"/>
          <w:u w:val="none"/>
        </w:rPr>
        <w:t>(b) preserve order and prevent threats to public security;</w:t>
      </w:r>
      <w:bookmarkEnd w:id="8"/>
      <w:bookmarkEnd w:id="9"/>
      <w:bookmarkEnd w:id="10"/>
    </w:p>
    <w:p w14:paraId="3C2E0312" w14:textId="77777777" w:rsidR="00940D45" w:rsidRDefault="00940D45" w:rsidP="00940D45">
      <w:pPr>
        <w:pStyle w:val="LFRHeading1"/>
        <w:numPr>
          <w:ilvl w:val="0"/>
          <w:numId w:val="0"/>
        </w:numPr>
        <w:ind w:left="432"/>
        <w:rPr>
          <w:rStyle w:val="Hyperlink"/>
          <w:rFonts w:eastAsia="MS Mincho"/>
          <w:b w:val="0"/>
          <w:bCs/>
          <w:color w:val="auto"/>
          <w:sz w:val="22"/>
          <w:u w:val="none"/>
        </w:rPr>
      </w:pPr>
      <w:bookmarkStart w:id="11" w:name="_Toc71884484"/>
      <w:bookmarkStart w:id="12" w:name="_Toc86654314"/>
      <w:bookmarkStart w:id="13" w:name="_Toc86660207"/>
      <w:r>
        <w:rPr>
          <w:rStyle w:val="Hyperlink"/>
          <w:rFonts w:eastAsia="MS Mincho"/>
          <w:b w:val="0"/>
          <w:bCs/>
          <w:color w:val="auto"/>
          <w:sz w:val="22"/>
          <w:u w:val="none"/>
        </w:rPr>
        <w:t>(c) prevent and detect crime;</w:t>
      </w:r>
      <w:bookmarkEnd w:id="11"/>
      <w:bookmarkEnd w:id="12"/>
      <w:bookmarkEnd w:id="13"/>
    </w:p>
    <w:p w14:paraId="4C38A254" w14:textId="77777777" w:rsidR="00940D45" w:rsidRDefault="00940D45" w:rsidP="00940D45">
      <w:pPr>
        <w:pStyle w:val="LFRHeading1"/>
        <w:numPr>
          <w:ilvl w:val="0"/>
          <w:numId w:val="0"/>
        </w:numPr>
        <w:ind w:left="432"/>
        <w:rPr>
          <w:rStyle w:val="Hyperlink"/>
          <w:rFonts w:eastAsia="MS Mincho"/>
          <w:b w:val="0"/>
          <w:bCs/>
          <w:color w:val="auto"/>
          <w:sz w:val="22"/>
          <w:u w:val="none"/>
        </w:rPr>
      </w:pPr>
      <w:bookmarkStart w:id="14" w:name="_Toc71884485"/>
      <w:bookmarkStart w:id="15" w:name="_Toc86654315"/>
      <w:bookmarkStart w:id="16" w:name="_Toc86660208"/>
      <w:r>
        <w:rPr>
          <w:rStyle w:val="Hyperlink"/>
          <w:rFonts w:eastAsia="MS Mincho"/>
          <w:b w:val="0"/>
          <w:bCs/>
          <w:color w:val="auto"/>
          <w:sz w:val="22"/>
          <w:u w:val="none"/>
        </w:rPr>
        <w:t>(d) bring offenders to justice; and</w:t>
      </w:r>
      <w:bookmarkEnd w:id="14"/>
      <w:bookmarkEnd w:id="15"/>
      <w:bookmarkEnd w:id="16"/>
    </w:p>
    <w:p w14:paraId="45D871F2" w14:textId="4170A691" w:rsidR="00434BBC" w:rsidRDefault="00940D45" w:rsidP="00940D45">
      <w:pPr>
        <w:pStyle w:val="LFRHeading1"/>
        <w:numPr>
          <w:ilvl w:val="0"/>
          <w:numId w:val="0"/>
        </w:numPr>
        <w:ind w:left="432"/>
        <w:rPr>
          <w:rStyle w:val="Hyperlink"/>
          <w:rFonts w:eastAsia="MS Mincho"/>
          <w:b w:val="0"/>
          <w:bCs/>
          <w:color w:val="auto"/>
          <w:sz w:val="22"/>
          <w:u w:val="none"/>
        </w:rPr>
      </w:pPr>
      <w:bookmarkStart w:id="17" w:name="_Toc71884486"/>
      <w:bookmarkStart w:id="18" w:name="_Toc86654316"/>
      <w:bookmarkStart w:id="19" w:name="_Toc86660209"/>
      <w:r>
        <w:rPr>
          <w:rStyle w:val="Hyperlink"/>
          <w:rFonts w:eastAsia="MS Mincho"/>
          <w:b w:val="0"/>
          <w:bCs/>
          <w:color w:val="auto"/>
          <w:sz w:val="22"/>
          <w:u w:val="none"/>
        </w:rPr>
        <w:t>(e) uphold national security.</w:t>
      </w:r>
      <w:bookmarkEnd w:id="17"/>
      <w:bookmarkEnd w:id="18"/>
      <w:bookmarkEnd w:id="19"/>
    </w:p>
    <w:p w14:paraId="274731DE" w14:textId="07E1FCBC" w:rsidR="00D3039E" w:rsidRDefault="1FAEF7EF" w:rsidP="51CA4E8C">
      <w:pPr>
        <w:pStyle w:val="LFRHeading1"/>
        <w:numPr>
          <w:ilvl w:val="0"/>
          <w:numId w:val="0"/>
        </w:numPr>
        <w:ind w:left="432"/>
        <w:rPr>
          <w:rStyle w:val="Hyperlink"/>
          <w:rFonts w:eastAsia="MS Mincho"/>
          <w:b w:val="0"/>
          <w:color w:val="auto"/>
          <w:sz w:val="22"/>
          <w:u w:val="none"/>
        </w:rPr>
      </w:pPr>
      <w:r w:rsidRPr="6B9EA7EF">
        <w:rPr>
          <w:rStyle w:val="Hyperlink"/>
          <w:rFonts w:eastAsia="MS Mincho"/>
          <w:b w:val="0"/>
          <w:color w:val="auto"/>
          <w:sz w:val="22"/>
          <w:u w:val="none"/>
        </w:rPr>
        <w:t xml:space="preserve">Example: </w:t>
      </w:r>
      <w:r w:rsidR="5BD34C28" w:rsidRPr="6B9EA7EF">
        <w:rPr>
          <w:rStyle w:val="Hyperlink"/>
          <w:rFonts w:eastAsia="MS Mincho"/>
          <w:b w:val="0"/>
          <w:color w:val="auto"/>
          <w:sz w:val="22"/>
          <w:u w:val="none"/>
        </w:rPr>
        <w:t>HIOWC</w:t>
      </w:r>
      <w:r w:rsidRPr="6B9EA7EF">
        <w:rPr>
          <w:rStyle w:val="Hyperlink"/>
          <w:rFonts w:eastAsia="MS Mincho"/>
          <w:b w:val="0"/>
          <w:color w:val="auto"/>
          <w:sz w:val="22"/>
          <w:u w:val="none"/>
        </w:rPr>
        <w:t xml:space="preserve"> has detailed </w:t>
      </w:r>
      <w:r w:rsidR="5BD34C28" w:rsidRPr="6B9EA7EF">
        <w:rPr>
          <w:rStyle w:val="Hyperlink"/>
          <w:rFonts w:eastAsia="MS Mincho"/>
          <w:b w:val="0"/>
          <w:color w:val="auto"/>
          <w:sz w:val="22"/>
          <w:u w:val="none"/>
        </w:rPr>
        <w:t xml:space="preserve">in its </w:t>
      </w:r>
      <w:r w:rsidR="575900E0" w:rsidRPr="6B9EA7EF">
        <w:rPr>
          <w:rStyle w:val="Hyperlink"/>
          <w:rFonts w:eastAsia="MS Mincho"/>
          <w:b w:val="0"/>
          <w:color w:val="auto"/>
          <w:sz w:val="22"/>
          <w:u w:val="none"/>
        </w:rPr>
        <w:t xml:space="preserve">LFR Policy Document and Standard Operating Procedures </w:t>
      </w:r>
      <w:r w:rsidRPr="6B9EA7EF">
        <w:rPr>
          <w:rStyle w:val="Hyperlink"/>
          <w:rFonts w:eastAsia="MS Mincho"/>
          <w:b w:val="0"/>
          <w:color w:val="auto"/>
          <w:sz w:val="22"/>
          <w:u w:val="none"/>
        </w:rPr>
        <w:t>uses of LFR as a policing tactic</w:t>
      </w:r>
      <w:r w:rsidR="007165CE" w:rsidRPr="6B9EA7EF">
        <w:rPr>
          <w:rStyle w:val="Hyperlink"/>
          <w:rFonts w:eastAsia="MS Mincho"/>
          <w:b w:val="0"/>
          <w:color w:val="auto"/>
          <w:sz w:val="22"/>
          <w:u w:val="none"/>
        </w:rPr>
        <w:t xml:space="preserve"> to locate </w:t>
      </w:r>
      <w:r w:rsidR="006B391D" w:rsidRPr="6B9EA7EF">
        <w:rPr>
          <w:rStyle w:val="Hyperlink"/>
          <w:rFonts w:eastAsia="MS Mincho"/>
          <w:b w:val="0"/>
          <w:color w:val="auto"/>
          <w:sz w:val="22"/>
          <w:u w:val="none"/>
        </w:rPr>
        <w:t xml:space="preserve">persons </w:t>
      </w:r>
      <w:r w:rsidR="007F2F5E" w:rsidRPr="6B9EA7EF">
        <w:rPr>
          <w:rStyle w:val="Hyperlink"/>
          <w:rFonts w:eastAsia="MS Mincho"/>
          <w:b w:val="0"/>
          <w:color w:val="auto"/>
          <w:sz w:val="22"/>
          <w:u w:val="none"/>
        </w:rPr>
        <w:t>who are wanted (on warrant, recall to prison, suspected of / likely to commit an offence); to enforce court or police-imposed orders / conditions; who pose a risk of harm or are at risk of harm; missing persons</w:t>
      </w:r>
      <w:r w:rsidR="5899A857" w:rsidRPr="6B9EA7EF">
        <w:rPr>
          <w:rStyle w:val="Hyperlink"/>
          <w:rFonts w:eastAsia="MS Mincho"/>
          <w:b w:val="0"/>
          <w:color w:val="auto"/>
          <w:sz w:val="22"/>
          <w:u w:val="none"/>
        </w:rPr>
        <w:t xml:space="preserve"> (may include all risk levels</w:t>
      </w:r>
      <w:r w:rsidR="7D200110" w:rsidRPr="6B9EA7EF">
        <w:rPr>
          <w:rStyle w:val="Hyperlink"/>
          <w:rFonts w:eastAsia="MS Mincho"/>
          <w:b w:val="0"/>
          <w:color w:val="auto"/>
          <w:sz w:val="22"/>
          <w:highlight w:val="cyan"/>
          <w:u w:val="none"/>
        </w:rPr>
        <w:t>)</w:t>
      </w:r>
      <w:r w:rsidR="007F2F5E" w:rsidRPr="6B9EA7EF">
        <w:rPr>
          <w:rStyle w:val="Hyperlink"/>
          <w:rFonts w:eastAsia="MS Mincho"/>
          <w:b w:val="0"/>
          <w:color w:val="auto"/>
          <w:sz w:val="22"/>
          <w:u w:val="none"/>
        </w:rPr>
        <w:t>; or a victim / witness to a serious crime.</w:t>
      </w:r>
      <w:r w:rsidR="00A46C7C" w:rsidRPr="6B9EA7EF">
        <w:rPr>
          <w:rStyle w:val="Hyperlink"/>
          <w:rFonts w:eastAsia="MS Mincho"/>
          <w:b w:val="0"/>
          <w:color w:val="auto"/>
          <w:sz w:val="22"/>
          <w:u w:val="none"/>
        </w:rPr>
        <w:t xml:space="preserve">  </w:t>
      </w:r>
      <w:r w:rsidRPr="6B9EA7EF">
        <w:rPr>
          <w:rStyle w:val="Hyperlink"/>
          <w:rFonts w:eastAsia="MS Mincho"/>
          <w:b w:val="0"/>
          <w:color w:val="auto"/>
          <w:sz w:val="22"/>
          <w:u w:val="none"/>
        </w:rPr>
        <w:t>In this context</w:t>
      </w:r>
      <w:r w:rsidR="461AC082" w:rsidRPr="6B9EA7EF">
        <w:rPr>
          <w:rStyle w:val="Hyperlink"/>
          <w:rFonts w:eastAsia="MS Mincho"/>
          <w:b w:val="0"/>
          <w:color w:val="auto"/>
          <w:sz w:val="22"/>
          <w:u w:val="none"/>
        </w:rPr>
        <w:t>,</w:t>
      </w:r>
      <w:r w:rsidRPr="6B9EA7EF">
        <w:rPr>
          <w:rStyle w:val="Hyperlink"/>
          <w:rFonts w:eastAsia="MS Mincho"/>
          <w:b w:val="0"/>
          <w:color w:val="auto"/>
          <w:sz w:val="22"/>
          <w:u w:val="none"/>
        </w:rPr>
        <w:t xml:space="preserve"> the use of LFR technology to</w:t>
      </w:r>
      <w:r w:rsidR="35F90B8A" w:rsidRPr="6B9EA7EF">
        <w:rPr>
          <w:rStyle w:val="Hyperlink"/>
          <w:rFonts w:eastAsia="MS Mincho"/>
          <w:b w:val="0"/>
          <w:color w:val="auto"/>
          <w:sz w:val="22"/>
          <w:u w:val="none"/>
        </w:rPr>
        <w:t xml:space="preserve"> preserve order by</w:t>
      </w:r>
      <w:r w:rsidRPr="6B9EA7EF">
        <w:rPr>
          <w:rStyle w:val="Hyperlink"/>
          <w:rFonts w:eastAsia="MS Mincho"/>
          <w:b w:val="0"/>
          <w:color w:val="auto"/>
          <w:sz w:val="22"/>
          <w:u w:val="none"/>
        </w:rPr>
        <w:t xml:space="preserve"> facilitat</w:t>
      </w:r>
      <w:r w:rsidR="35F90B8A" w:rsidRPr="6B9EA7EF">
        <w:rPr>
          <w:rStyle w:val="Hyperlink"/>
          <w:rFonts w:eastAsia="MS Mincho"/>
          <w:b w:val="0"/>
          <w:color w:val="auto"/>
          <w:sz w:val="22"/>
          <w:u w:val="none"/>
        </w:rPr>
        <w:t>ing</w:t>
      </w:r>
      <w:r w:rsidRPr="6B9EA7EF">
        <w:rPr>
          <w:rStyle w:val="Hyperlink"/>
          <w:rFonts w:eastAsia="MS Mincho"/>
          <w:b w:val="0"/>
          <w:color w:val="auto"/>
          <w:sz w:val="22"/>
          <w:u w:val="none"/>
        </w:rPr>
        <w:t xml:space="preserve"> officers to promptly locate those </w:t>
      </w:r>
      <w:r w:rsidR="35F90B8A" w:rsidRPr="6B9EA7EF">
        <w:rPr>
          <w:rStyle w:val="Hyperlink"/>
          <w:rFonts w:eastAsia="MS Mincho"/>
          <w:b w:val="0"/>
          <w:color w:val="auto"/>
          <w:sz w:val="22"/>
          <w:u w:val="none"/>
        </w:rPr>
        <w:t xml:space="preserve">who are suspected </w:t>
      </w:r>
      <w:r w:rsidR="2A26E990" w:rsidRPr="6B9EA7EF">
        <w:rPr>
          <w:rStyle w:val="Hyperlink"/>
          <w:rFonts w:eastAsia="MS Mincho"/>
          <w:b w:val="0"/>
          <w:color w:val="auto"/>
          <w:sz w:val="22"/>
          <w:u w:val="none"/>
        </w:rPr>
        <w:t>of committing offences</w:t>
      </w:r>
      <w:r w:rsidR="15380037" w:rsidRPr="6B9EA7EF">
        <w:rPr>
          <w:rStyle w:val="Hyperlink"/>
          <w:rFonts w:eastAsia="MS Mincho"/>
          <w:b w:val="0"/>
          <w:color w:val="auto"/>
          <w:sz w:val="22"/>
          <w:u w:val="none"/>
        </w:rPr>
        <w:t xml:space="preserve"> would</w:t>
      </w:r>
      <w:r w:rsidRPr="6B9EA7EF">
        <w:rPr>
          <w:rStyle w:val="Hyperlink"/>
          <w:rFonts w:eastAsia="MS Mincho"/>
          <w:b w:val="0"/>
          <w:color w:val="auto"/>
          <w:sz w:val="22"/>
          <w:u w:val="none"/>
        </w:rPr>
        <w:t xml:space="preserve"> enable </w:t>
      </w:r>
      <w:r w:rsidR="461AC082" w:rsidRPr="6B9EA7EF">
        <w:rPr>
          <w:rStyle w:val="Hyperlink"/>
          <w:rFonts w:eastAsia="MS Mincho"/>
          <w:b w:val="0"/>
          <w:color w:val="auto"/>
          <w:sz w:val="22"/>
          <w:u w:val="none"/>
        </w:rPr>
        <w:t>HIOWC</w:t>
      </w:r>
      <w:r w:rsidRPr="6B9EA7EF">
        <w:rPr>
          <w:rStyle w:val="Hyperlink"/>
          <w:rFonts w:eastAsia="MS Mincho"/>
          <w:b w:val="0"/>
          <w:color w:val="auto"/>
          <w:sz w:val="22"/>
          <w:u w:val="none"/>
        </w:rPr>
        <w:t xml:space="preserve"> to discharge its responsibilities to </w:t>
      </w:r>
      <w:r w:rsidR="2A26E990" w:rsidRPr="6B9EA7EF">
        <w:rPr>
          <w:rStyle w:val="Hyperlink"/>
          <w:rFonts w:eastAsia="MS Mincho"/>
          <w:b w:val="0"/>
          <w:color w:val="auto"/>
          <w:sz w:val="22"/>
          <w:u w:val="none"/>
        </w:rPr>
        <w:t>prevent and detect crime</w:t>
      </w:r>
      <w:r w:rsidR="06C6BD7A" w:rsidRPr="6B9EA7EF">
        <w:rPr>
          <w:rStyle w:val="Hyperlink"/>
          <w:rFonts w:eastAsia="MS Mincho"/>
          <w:b w:val="0"/>
          <w:color w:val="auto"/>
          <w:sz w:val="22"/>
          <w:u w:val="none"/>
        </w:rPr>
        <w:t xml:space="preserve"> and </w:t>
      </w:r>
      <w:r w:rsidRPr="6B9EA7EF">
        <w:rPr>
          <w:rStyle w:val="Hyperlink"/>
          <w:rFonts w:eastAsia="MS Mincho"/>
          <w:b w:val="0"/>
          <w:color w:val="auto"/>
          <w:sz w:val="22"/>
          <w:u w:val="none"/>
        </w:rPr>
        <w:t>protect life and property.</w:t>
      </w:r>
      <w:r w:rsidR="40F793F9" w:rsidRPr="6B9EA7EF">
        <w:rPr>
          <w:rStyle w:val="Hyperlink"/>
          <w:rFonts w:eastAsia="MS Mincho"/>
          <w:b w:val="0"/>
          <w:color w:val="auto"/>
          <w:sz w:val="22"/>
          <w:u w:val="none"/>
        </w:rPr>
        <w:t xml:space="preserve"> </w:t>
      </w:r>
      <w:r w:rsidR="06C6BD7A" w:rsidRPr="6B9EA7EF">
        <w:rPr>
          <w:rStyle w:val="Hyperlink"/>
          <w:rFonts w:eastAsia="MS Mincho"/>
          <w:b w:val="0"/>
          <w:color w:val="auto"/>
          <w:sz w:val="22"/>
          <w:u w:val="none"/>
        </w:rPr>
        <w:t>The use of LFR may help locate a missing person</w:t>
      </w:r>
      <w:r w:rsidR="76F12F93" w:rsidRPr="6B9EA7EF">
        <w:rPr>
          <w:rStyle w:val="Hyperlink"/>
          <w:rFonts w:eastAsia="MS Mincho"/>
          <w:b w:val="0"/>
          <w:color w:val="auto"/>
          <w:sz w:val="22"/>
          <w:u w:val="none"/>
        </w:rPr>
        <w:t>.</w:t>
      </w:r>
      <w:r w:rsidR="06C6BD7A" w:rsidRPr="6B9EA7EF">
        <w:rPr>
          <w:rStyle w:val="Hyperlink"/>
          <w:rFonts w:eastAsia="MS Mincho"/>
          <w:b w:val="0"/>
          <w:color w:val="auto"/>
          <w:sz w:val="22"/>
          <w:u w:val="none"/>
        </w:rPr>
        <w:t xml:space="preserve"> </w:t>
      </w:r>
      <w:r w:rsidRPr="6B9EA7EF">
        <w:rPr>
          <w:rStyle w:val="Hyperlink"/>
          <w:rFonts w:eastAsia="MS Mincho"/>
          <w:b w:val="0"/>
          <w:color w:val="auto"/>
          <w:sz w:val="22"/>
          <w:u w:val="none"/>
        </w:rPr>
        <w:t xml:space="preserve"> It would also be compatible with </w:t>
      </w:r>
      <w:r w:rsidR="461AC082" w:rsidRPr="6B9EA7EF">
        <w:rPr>
          <w:rStyle w:val="Hyperlink"/>
          <w:rFonts w:eastAsia="MS Mincho"/>
          <w:b w:val="0"/>
          <w:color w:val="auto"/>
          <w:sz w:val="22"/>
          <w:u w:val="none"/>
        </w:rPr>
        <w:t>HIOWC</w:t>
      </w:r>
      <w:r w:rsidRPr="6B9EA7EF">
        <w:rPr>
          <w:rStyle w:val="Hyperlink"/>
          <w:rFonts w:eastAsia="MS Mincho"/>
          <w:b w:val="0"/>
          <w:color w:val="auto"/>
          <w:sz w:val="22"/>
          <w:u w:val="none"/>
        </w:rPr>
        <w:t>’s duty to bring offenders to justice by facilitating a prompt and effective investigation.</w:t>
      </w:r>
    </w:p>
    <w:p w14:paraId="55CE419A" w14:textId="0B08222B" w:rsidR="00D3039E" w:rsidRDefault="00711A44" w:rsidP="00711A44">
      <w:pPr>
        <w:pStyle w:val="LFRNumberedBodyText"/>
      </w:pPr>
      <w:r>
        <w:t xml:space="preserve">The use of </w:t>
      </w:r>
      <w:r w:rsidR="00E5181F">
        <w:t>common law power</w:t>
      </w:r>
      <w:r w:rsidR="005402DC">
        <w:t>s</w:t>
      </w:r>
      <w:r w:rsidR="009C08E0">
        <w:t xml:space="preserve"> as a legal basis to support the</w:t>
      </w:r>
      <w:r w:rsidR="008E579C">
        <w:t xml:space="preserve"> deployment</w:t>
      </w:r>
      <w:r w:rsidR="009C08E0">
        <w:t xml:space="preserve"> use of LFR has been considered</w:t>
      </w:r>
      <w:r w:rsidR="008E579C">
        <w:t xml:space="preserve"> and recognised</w:t>
      </w:r>
      <w:r w:rsidR="009C08E0">
        <w:t xml:space="preserve"> in</w:t>
      </w:r>
      <w:r w:rsidR="00A4498F">
        <w:t xml:space="preserve"> the ‘Bridges’ case</w:t>
      </w:r>
      <w:r w:rsidR="00D3039E">
        <w:t>:</w:t>
      </w:r>
    </w:p>
    <w:p w14:paraId="245DCBD5" w14:textId="000B01F4" w:rsidR="00D3039E" w:rsidRDefault="00D3039E" w:rsidP="00E14901">
      <w:pPr>
        <w:pStyle w:val="ListParagraph"/>
        <w:keepNext/>
        <w:numPr>
          <w:ilvl w:val="0"/>
          <w:numId w:val="7"/>
        </w:numPr>
        <w:jc w:val="both"/>
      </w:pPr>
      <w:r w:rsidRPr="00D3039E">
        <w:rPr>
          <w:i/>
        </w:rPr>
        <w:t>R (on the application of Edward Bridges) v The Chief Constable of South Wales Police</w:t>
      </w:r>
      <w:r w:rsidR="005402DC">
        <w:rPr>
          <w:i/>
        </w:rPr>
        <w:t xml:space="preserve"> (SWP)</w:t>
      </w:r>
      <w:r w:rsidRPr="00D3039E">
        <w:rPr>
          <w:i/>
        </w:rPr>
        <w:t xml:space="preserve"> [2019] EWHC 2341 (Admin)</w:t>
      </w:r>
      <w:r>
        <w:t xml:space="preserve"> (the “High Court Bridges” decision); </w:t>
      </w:r>
      <w:r w:rsidRPr="00D3039E">
        <w:rPr>
          <w:i/>
        </w:rPr>
        <w:t>and</w:t>
      </w:r>
      <w:r>
        <w:t xml:space="preserve"> </w:t>
      </w:r>
      <w:r w:rsidR="00A4498F">
        <w:t>then on Appeal in,</w:t>
      </w:r>
    </w:p>
    <w:p w14:paraId="66A55042" w14:textId="36EA00CC" w:rsidR="00D3039E" w:rsidRDefault="00D3039E" w:rsidP="00E14901">
      <w:pPr>
        <w:pStyle w:val="ListParagraph"/>
        <w:keepNext/>
        <w:numPr>
          <w:ilvl w:val="0"/>
          <w:numId w:val="7"/>
        </w:numPr>
        <w:jc w:val="both"/>
      </w:pPr>
      <w:r>
        <w:t xml:space="preserve">R (on the application of Edward Bridges) v The Chief Constable of South Wales Police [2020] EWCA Civ 1058 (the “Court of Appeal Bridges” decision). </w:t>
      </w:r>
    </w:p>
    <w:p w14:paraId="4A2D6F05" w14:textId="77777777" w:rsidR="00D3039E" w:rsidRDefault="00D3039E" w:rsidP="00D3039E">
      <w:pPr>
        <w:pStyle w:val="ListParagraph"/>
        <w:keepNext/>
        <w:ind w:left="1440"/>
        <w:jc w:val="both"/>
      </w:pPr>
    </w:p>
    <w:p w14:paraId="6515CF94" w14:textId="29C1FAAF" w:rsidR="00292BC4" w:rsidRDefault="00292BC4" w:rsidP="006B00EF">
      <w:pPr>
        <w:pStyle w:val="LFRNumberedBodyText"/>
        <w:numPr>
          <w:ilvl w:val="0"/>
          <w:numId w:val="0"/>
        </w:numPr>
        <w:ind w:left="576"/>
      </w:pPr>
      <w:r>
        <w:t xml:space="preserve">The Divisional Court acknowledged that </w:t>
      </w:r>
      <w:r w:rsidR="006B00EF">
        <w:t xml:space="preserve">using cameras with facial recognition technology to obtain the biometric data of members of the public in public falls within the common law powers of the police to obtain and store information for policing purposes, and that the </w:t>
      </w:r>
      <w:r w:rsidR="006B00EF">
        <w:lastRenderedPageBreak/>
        <w:t>compilation of the watchlists is both authorised under the Police and Criminal Evidence Act 1984 and within the powers of the police at common law</w:t>
      </w:r>
      <w:r w:rsidR="0063792A">
        <w:t xml:space="preserve">. </w:t>
      </w:r>
    </w:p>
    <w:p w14:paraId="22D03011" w14:textId="558D3638" w:rsidR="009C299F" w:rsidRDefault="00D3039E" w:rsidP="00D3039E">
      <w:pPr>
        <w:pStyle w:val="LFRNumberedBodyText"/>
        <w:numPr>
          <w:ilvl w:val="0"/>
          <w:numId w:val="0"/>
        </w:numPr>
        <w:ind w:left="576"/>
      </w:pPr>
      <w:r>
        <w:t>The reference to the 1984</w:t>
      </w:r>
      <w:r w:rsidR="00AD2924">
        <w:t xml:space="preserve"> Act</w:t>
      </w:r>
      <w:r>
        <w:t xml:space="preserve"> is a reference to imagery obtained pursuant to Section 64A (</w:t>
      </w:r>
      <w:r>
        <w:rPr>
          <w:i/>
        </w:rPr>
        <w:t>Photographing of suspects etc.)</w:t>
      </w:r>
      <w:r>
        <w:t xml:space="preserve"> of the Act and particularly section 64A(4)(a) which allows a photograph taken under the section to be “used … for any purpose related to the prevention or detection of crime, the investigation of an offence or the conduct of a prosecution or to the enforcement of a sentence”. </w:t>
      </w:r>
    </w:p>
    <w:p w14:paraId="46C0A59A" w14:textId="6AEE7121" w:rsidR="00711A44" w:rsidRDefault="009C299F" w:rsidP="00D3039E">
      <w:pPr>
        <w:pStyle w:val="LFRNumberedBodyText"/>
        <w:numPr>
          <w:ilvl w:val="0"/>
          <w:numId w:val="0"/>
        </w:numPr>
        <w:ind w:left="576"/>
      </w:pPr>
      <w:r>
        <w:t xml:space="preserve">On appeal, it was common ground between the parties that the police had the relevant common law powers to deploy LFR and this was therefore not an issue that the Court of Appeal addressed further. </w:t>
      </w:r>
    </w:p>
    <w:tbl>
      <w:tblPr>
        <w:tblStyle w:val="TableGrid"/>
        <w:tblW w:w="0" w:type="auto"/>
        <w:tblInd w:w="576" w:type="dxa"/>
        <w:tblLook w:val="04A0" w:firstRow="1" w:lastRow="0" w:firstColumn="1" w:lastColumn="0" w:noHBand="0" w:noVBand="1"/>
      </w:tblPr>
      <w:tblGrid>
        <w:gridCol w:w="8440"/>
      </w:tblGrid>
      <w:tr w:rsidR="009C08E0" w14:paraId="278838B6" w14:textId="77777777" w:rsidTr="34B17B6B">
        <w:tc>
          <w:tcPr>
            <w:tcW w:w="8440" w:type="dxa"/>
          </w:tcPr>
          <w:p w14:paraId="1862F61B" w14:textId="3A18AE62" w:rsidR="009C08E0" w:rsidRDefault="009C08E0" w:rsidP="009C08E0">
            <w:pPr>
              <w:pStyle w:val="LFRNumberedBodyText"/>
              <w:numPr>
                <w:ilvl w:val="0"/>
                <w:numId w:val="0"/>
              </w:numPr>
            </w:pPr>
            <w:r w:rsidRPr="34B17B6B">
              <w:rPr>
                <w:b/>
                <w:bCs/>
              </w:rPr>
              <w:t>Authorising Officers</w:t>
            </w:r>
            <w:r w:rsidR="00706A65" w:rsidRPr="34B17B6B">
              <w:rPr>
                <w:b/>
                <w:bCs/>
              </w:rPr>
              <w:t>:</w:t>
            </w:r>
            <w:r>
              <w:t xml:space="preserve"> </w:t>
            </w:r>
            <w:r w:rsidR="00706A65">
              <w:t>W</w:t>
            </w:r>
            <w:r>
              <w:t xml:space="preserve">hen considering the use of LFR technology, </w:t>
            </w:r>
            <w:r w:rsidR="008F734B">
              <w:t xml:space="preserve">it </w:t>
            </w:r>
            <w:r>
              <w:t>must be clear as to the common law policing power</w:t>
            </w:r>
            <w:r w:rsidR="00A7249E">
              <w:t>(s)</w:t>
            </w:r>
            <w:r>
              <w:t xml:space="preserve"> relied upon for lawfully authorising the use</w:t>
            </w:r>
            <w:r w:rsidR="00587036">
              <w:t xml:space="preserve"> of</w:t>
            </w:r>
            <w:r>
              <w:t xml:space="preserve"> LFR and record this as part of the decision</w:t>
            </w:r>
            <w:r w:rsidR="000B1D0A">
              <w:t>-</w:t>
            </w:r>
            <w:r>
              <w:t>making process.</w:t>
            </w:r>
          </w:p>
        </w:tc>
      </w:tr>
    </w:tbl>
    <w:p w14:paraId="237E70F3" w14:textId="629611D3" w:rsidR="000B1D0A" w:rsidRPr="004858D7" w:rsidRDefault="000B1D0A" w:rsidP="1699BAB1">
      <w:pPr>
        <w:pStyle w:val="LFRHeading1"/>
        <w:numPr>
          <w:ilvl w:val="0"/>
          <w:numId w:val="0"/>
        </w:numPr>
        <w:rPr>
          <w:rStyle w:val="Hyperlink"/>
          <w:color w:val="auto"/>
          <w:sz w:val="28"/>
          <w:szCs w:val="28"/>
          <w:u w:val="none"/>
        </w:rPr>
      </w:pPr>
      <w:bookmarkStart w:id="20" w:name="_Toc86660211"/>
      <w:r w:rsidRPr="1699BAB1">
        <w:rPr>
          <w:rStyle w:val="Hyperlink"/>
          <w:color w:val="auto"/>
          <w:sz w:val="28"/>
          <w:szCs w:val="28"/>
          <w:u w:val="none"/>
        </w:rPr>
        <w:t>POLICE AND CRIMINAL EVIDENCE ACT 1984</w:t>
      </w:r>
      <w:bookmarkEnd w:id="20"/>
    </w:p>
    <w:p w14:paraId="3EC414A6" w14:textId="0C4A8D7F" w:rsidR="00712488" w:rsidRDefault="000B1D0A" w:rsidP="000B1D0A">
      <w:pPr>
        <w:pStyle w:val="LFRNumberedBodyText"/>
      </w:pPr>
      <w:r>
        <w:t>S</w:t>
      </w:r>
      <w:r w:rsidR="0045078F">
        <w:t xml:space="preserve">ection 64A of PACE allows photographing a person who is </w:t>
      </w:r>
      <w:r w:rsidR="00C87AAE">
        <w:t>detained at a station.</w:t>
      </w:r>
    </w:p>
    <w:p w14:paraId="349D296A" w14:textId="28A5C188" w:rsidR="00C87AAE" w:rsidRPr="000B1D0A" w:rsidRDefault="00C87AAE" w:rsidP="000B1D0A">
      <w:pPr>
        <w:pStyle w:val="LFRNumberedBodyText"/>
        <w:rPr>
          <w:rStyle w:val="Hyperlink"/>
          <w:color w:val="auto"/>
          <w:u w:val="none"/>
        </w:rPr>
      </w:pPr>
      <w:r>
        <w:rPr>
          <w:rStyle w:val="Hyperlink"/>
          <w:color w:val="auto"/>
          <w:u w:val="none"/>
        </w:rPr>
        <w:t>Allows for the photographs to be used for the prevention and detection of crime, the investigation of offences</w:t>
      </w:r>
      <w:r w:rsidR="004B2D00">
        <w:rPr>
          <w:rStyle w:val="Hyperlink"/>
          <w:color w:val="auto"/>
          <w:u w:val="none"/>
        </w:rPr>
        <w:t xml:space="preserve"> or the conduct of prosecutions.</w:t>
      </w:r>
    </w:p>
    <w:bookmarkStart w:id="21" w:name="_Toc86660212"/>
    <w:p w14:paraId="239D6248" w14:textId="4D77C46C" w:rsidR="00C77745" w:rsidRPr="004858D7" w:rsidRDefault="00B201F4" w:rsidP="1699BAB1">
      <w:pPr>
        <w:pStyle w:val="LFRHeading1"/>
        <w:numPr>
          <w:ilvl w:val="0"/>
          <w:numId w:val="0"/>
        </w:numPr>
        <w:rPr>
          <w:rStyle w:val="Hyperlink"/>
          <w:color w:val="auto"/>
          <w:sz w:val="28"/>
          <w:szCs w:val="28"/>
          <w:u w:val="none"/>
        </w:rPr>
      </w:pPr>
      <w:r>
        <w:fldChar w:fldCharType="begin"/>
      </w:r>
      <w:r>
        <w:instrText xml:space="preserve"> HYPERLINK "file:///C:/Users/c741358/AppData/Local/Microsoft/Windows/INetCache/Content.Outlook/3NB5RX0D/D%2020-01-16%20LFR%20DPIA%20Comments%20(002).docx" \l "Sect2" \h </w:instrText>
      </w:r>
      <w:r>
        <w:fldChar w:fldCharType="separate"/>
      </w:r>
      <w:r w:rsidR="00712488" w:rsidRPr="1699BAB1">
        <w:rPr>
          <w:rStyle w:val="Hyperlink"/>
          <w:color w:val="auto"/>
          <w:sz w:val="28"/>
          <w:szCs w:val="28"/>
          <w:u w:val="none"/>
        </w:rPr>
        <w:t>HUMAN</w:t>
      </w:r>
      <w:r>
        <w:rPr>
          <w:rStyle w:val="Hyperlink"/>
          <w:color w:val="auto"/>
          <w:sz w:val="28"/>
          <w:szCs w:val="28"/>
          <w:u w:val="none"/>
        </w:rPr>
        <w:fldChar w:fldCharType="end"/>
      </w:r>
      <w:r w:rsidR="00712488" w:rsidRPr="1699BAB1">
        <w:rPr>
          <w:rStyle w:val="Hyperlink"/>
          <w:color w:val="auto"/>
          <w:sz w:val="28"/>
          <w:szCs w:val="28"/>
          <w:u w:val="none"/>
        </w:rPr>
        <w:t xml:space="preserve"> RIGHTS ACT 1998</w:t>
      </w:r>
      <w:bookmarkEnd w:id="21"/>
    </w:p>
    <w:p w14:paraId="37A6CA9A" w14:textId="51958CE5" w:rsidR="00712488" w:rsidRDefault="00A7249E" w:rsidP="00712488">
      <w:pPr>
        <w:pStyle w:val="LFRNumberedBodyText"/>
      </w:pPr>
      <w:r>
        <w:t xml:space="preserve">HIOWC </w:t>
      </w:r>
      <w:r w:rsidR="00712488">
        <w:t xml:space="preserve">use of LFR </w:t>
      </w:r>
      <w:r w:rsidR="004D32C0">
        <w:t>must</w:t>
      </w:r>
      <w:r w:rsidR="00712488">
        <w:t xml:space="preserve"> be in compliance with the Human Rights Act 1998.  LFR technology engages the Human Rights Act 1998 and</w:t>
      </w:r>
      <w:r w:rsidR="008E579C">
        <w:t xml:space="preserve"> in particular</w:t>
      </w:r>
      <w:r w:rsidR="00712488">
        <w:t xml:space="preserve"> has the potential to impact upon an individual’s Article 8 rights, the right to respect for private and family life.  This provides:</w:t>
      </w:r>
    </w:p>
    <w:p w14:paraId="4DA3CD35" w14:textId="1C6E042E" w:rsidR="00712488" w:rsidRPr="008C3C56" w:rsidRDefault="00A7249E" w:rsidP="00D35063">
      <w:pPr>
        <w:pStyle w:val="LFRNumberedBodyText"/>
        <w:numPr>
          <w:ilvl w:val="0"/>
          <w:numId w:val="0"/>
        </w:numPr>
        <w:ind w:left="720"/>
      </w:pPr>
      <w:r>
        <w:t>“</w:t>
      </w:r>
      <w:r w:rsidR="00712488">
        <w:t>There shall be no interference by a public authority with the exercise of the right except such as in accordance with the law and is necessary in a demographic society in the interests of national security, public safety or the economic well-being of the country, for the prevention of disorder or crime, for the protection of health or morals, or for the protection of the rights and freedoms of others.</w:t>
      </w:r>
      <w:r>
        <w:t>”</w:t>
      </w:r>
    </w:p>
    <w:p w14:paraId="2004473E" w14:textId="30F2DD05" w:rsidR="00712488" w:rsidRDefault="00D3263E" w:rsidP="00712488">
      <w:pPr>
        <w:pStyle w:val="LFRNumberedBodyText"/>
      </w:pPr>
      <w:r>
        <w:t>As a qualified right, any interference with an individual’s Article 8 rights is only permissible if:</w:t>
      </w:r>
    </w:p>
    <w:p w14:paraId="7015DCA9" w14:textId="029BD5B1" w:rsidR="00D3263E" w:rsidRDefault="00D3263E" w:rsidP="00D3263E">
      <w:pPr>
        <w:pStyle w:val="LFRNumberedBodyText"/>
        <w:numPr>
          <w:ilvl w:val="0"/>
          <w:numId w:val="0"/>
        </w:numPr>
        <w:ind w:left="576"/>
      </w:pPr>
      <w:r>
        <w:t xml:space="preserve">a) there is a </w:t>
      </w:r>
      <w:r w:rsidRPr="00ED5D8F">
        <w:rPr>
          <w:b/>
          <w:bCs/>
        </w:rPr>
        <w:t>legal basis</w:t>
      </w:r>
      <w:r>
        <w:t xml:space="preserve"> for the interference with the qualified right that </w:t>
      </w:r>
      <w:r w:rsidR="008F22F0">
        <w:t xml:space="preserve">is </w:t>
      </w:r>
      <w:r w:rsidR="00816242">
        <w:t xml:space="preserve">accessible and </w:t>
      </w:r>
      <w:r w:rsidR="008F22F0">
        <w:t>foreseeable</w:t>
      </w:r>
      <w:r>
        <w:t>;</w:t>
      </w:r>
    </w:p>
    <w:p w14:paraId="1FAA75EA" w14:textId="422B9132" w:rsidR="00D3263E" w:rsidRDefault="00D3263E" w:rsidP="00D3263E">
      <w:pPr>
        <w:pStyle w:val="LFRNumberedBodyText"/>
        <w:numPr>
          <w:ilvl w:val="0"/>
          <w:numId w:val="0"/>
        </w:numPr>
        <w:ind w:left="576"/>
      </w:pPr>
      <w:r>
        <w:t xml:space="preserve">b) the use of LFR seeks to achieve </w:t>
      </w:r>
      <w:r w:rsidR="00505AF9">
        <w:t>a</w:t>
      </w:r>
      <w:r>
        <w:t xml:space="preserve"> </w:t>
      </w:r>
      <w:r w:rsidRPr="00ED5D8F">
        <w:rPr>
          <w:b/>
          <w:bCs/>
        </w:rPr>
        <w:t>legitimate aim</w:t>
      </w:r>
      <w:r w:rsidR="005852A3">
        <w:rPr>
          <w:b/>
          <w:bCs/>
        </w:rPr>
        <w:t xml:space="preserve"> </w:t>
      </w:r>
      <w:r w:rsidR="005852A3" w:rsidRPr="005852A3">
        <w:t>which meets a</w:t>
      </w:r>
      <w:r w:rsidR="005852A3">
        <w:rPr>
          <w:b/>
          <w:bCs/>
        </w:rPr>
        <w:t xml:space="preserve"> pressing social need</w:t>
      </w:r>
      <w:r>
        <w:t>;</w:t>
      </w:r>
    </w:p>
    <w:p w14:paraId="6C38E9DE" w14:textId="1C5304BA" w:rsidR="00D3263E" w:rsidRDefault="00D3263E" w:rsidP="00D3263E">
      <w:pPr>
        <w:pStyle w:val="LFRNumberedBodyText"/>
        <w:numPr>
          <w:ilvl w:val="0"/>
          <w:numId w:val="0"/>
        </w:numPr>
        <w:ind w:left="576"/>
      </w:pPr>
      <w:r>
        <w:t xml:space="preserve">c) </w:t>
      </w:r>
      <w:r w:rsidR="00AE7E5B">
        <w:t xml:space="preserve">it is </w:t>
      </w:r>
      <w:r w:rsidR="00AE7E5B" w:rsidRPr="00ED5D8F">
        <w:rPr>
          <w:b/>
          <w:bCs/>
        </w:rPr>
        <w:t>necessary</w:t>
      </w:r>
      <w:r w:rsidR="00AE7E5B">
        <w:t xml:space="preserve"> for the purposes of that aim in a democratic society; and</w:t>
      </w:r>
    </w:p>
    <w:p w14:paraId="4189C94F" w14:textId="5DFCB72F" w:rsidR="00E7457A" w:rsidRPr="008C3C56" w:rsidRDefault="00AE7E5B" w:rsidP="00E7457A">
      <w:pPr>
        <w:pStyle w:val="LFRNumberedBodyText"/>
        <w:numPr>
          <w:ilvl w:val="0"/>
          <w:numId w:val="0"/>
        </w:numPr>
        <w:ind w:left="576"/>
      </w:pPr>
      <w:r>
        <w:t xml:space="preserve">d) the use of LFR is </w:t>
      </w:r>
      <w:r w:rsidRPr="00ED5D8F">
        <w:rPr>
          <w:b/>
          <w:bCs/>
        </w:rPr>
        <w:t>proportionate</w:t>
      </w:r>
      <w:r>
        <w:t xml:space="preserve"> to the legitimate aim being sought.</w:t>
      </w:r>
    </w:p>
    <w:p w14:paraId="514911D2" w14:textId="7EA3FC8E" w:rsidR="00E7457A" w:rsidRDefault="6786A806" w:rsidP="00E7457A">
      <w:pPr>
        <w:numPr>
          <w:ilvl w:val="1"/>
          <w:numId w:val="4"/>
        </w:numPr>
        <w:ind w:left="426" w:hanging="426"/>
        <w:jc w:val="both"/>
      </w:pPr>
      <w:r>
        <w:t xml:space="preserve">It is well-established that the reach of Article 8 can be broad. The case of </w:t>
      </w:r>
      <w:r w:rsidRPr="21D6228F">
        <w:rPr>
          <w:i/>
          <w:iCs/>
        </w:rPr>
        <w:t>S v. United Kingdom</w:t>
      </w:r>
      <w:r w:rsidR="00E7457A" w:rsidRPr="21D6228F">
        <w:rPr>
          <w:rStyle w:val="ListParagraphChar"/>
          <w:i/>
          <w:iCs/>
          <w:vertAlign w:val="superscript"/>
        </w:rPr>
        <w:footnoteReference w:id="2"/>
      </w:r>
      <w:r w:rsidRPr="00FA7D77">
        <w:rPr>
          <w:vertAlign w:val="superscript"/>
        </w:rPr>
        <w:t xml:space="preserve"> </w:t>
      </w:r>
      <w:r>
        <w:t xml:space="preserve">confirms that this can relate to a person’s right to their biometric data and any storing of data </w:t>
      </w:r>
      <w:r>
        <w:lastRenderedPageBreak/>
        <w:t>relating to it. Recognising that LFR involves biometric processing, that case went on to recognise that, in protecting the personal data and other forms of biometric processing, the interests of the data subject and the community as a whole “may be outweighed by the legitimate interest in the prevention of crime”.</w:t>
      </w:r>
      <w:r w:rsidR="00E7457A">
        <w:rPr>
          <w:rStyle w:val="ListParagraphChar"/>
        </w:rPr>
        <w:footnoteReference w:id="3"/>
      </w:r>
    </w:p>
    <w:p w14:paraId="54A0F4B4" w14:textId="4E80DF0A" w:rsidR="0003265B" w:rsidRDefault="00712488" w:rsidP="34B17B6B">
      <w:pPr>
        <w:pStyle w:val="LFRNumberedBodyText"/>
        <w:numPr>
          <w:ilvl w:val="0"/>
          <w:numId w:val="0"/>
        </w:numPr>
      </w:pPr>
      <w:r>
        <w:t xml:space="preserve">The </w:t>
      </w:r>
      <w:r w:rsidR="008E579C">
        <w:t xml:space="preserve">High Court and Court of Appeal </w:t>
      </w:r>
      <w:r w:rsidR="008E579C" w:rsidRPr="34B17B6B">
        <w:rPr>
          <w:i/>
          <w:iCs/>
        </w:rPr>
        <w:t>Bridges</w:t>
      </w:r>
      <w:r w:rsidR="001835F2">
        <w:t xml:space="preserve"> case</w:t>
      </w:r>
      <w:r w:rsidR="008E579C">
        <w:t>s</w:t>
      </w:r>
      <w:r w:rsidR="001835F2">
        <w:t xml:space="preserve"> considered Article 8, specifically in the context of LFR technology and confirmed that Article 8 is engaged in so far as someone passes through the Zone of Recognition and in so far as someone is placed on a LFR </w:t>
      </w:r>
      <w:r w:rsidR="008F734B">
        <w:t>w</w:t>
      </w:r>
      <w:r w:rsidR="001835F2">
        <w:t xml:space="preserve">atchlist for a Deployment.  </w:t>
      </w:r>
    </w:p>
    <w:p w14:paraId="3634DC0E" w14:textId="77777777" w:rsidR="001A3E22" w:rsidRDefault="63F2CC2B" w:rsidP="47E54948">
      <w:pPr>
        <w:pStyle w:val="LFRNumberedBodyText"/>
        <w:numPr>
          <w:ilvl w:val="0"/>
          <w:numId w:val="0"/>
        </w:numPr>
      </w:pPr>
      <w:r>
        <w:t xml:space="preserve">The European Court of Human Rights considered the use of </w:t>
      </w:r>
      <w:r w:rsidR="1C7907AC">
        <w:t>LFR in connection with an investigation into a minor administrative offence</w:t>
      </w:r>
      <w:r w:rsidR="08A23221">
        <w:t xml:space="preserve"> in the context of a peaceful protest</w:t>
      </w:r>
      <w:r w:rsidR="1C7907AC">
        <w:t xml:space="preserve"> in </w:t>
      </w:r>
      <w:r w:rsidR="1C7907AC" w:rsidRPr="21D6228F">
        <w:rPr>
          <w:i/>
          <w:iCs/>
        </w:rPr>
        <w:t>Glukhin v Russia</w:t>
      </w:r>
      <w:r w:rsidR="00224F1D" w:rsidRPr="21D6228F">
        <w:rPr>
          <w:rStyle w:val="FootnoteReference"/>
          <w:i/>
          <w:iCs/>
        </w:rPr>
        <w:footnoteReference w:id="4"/>
      </w:r>
      <w:r w:rsidR="203998D7">
        <w:t xml:space="preserve">. </w:t>
      </w:r>
      <w:r w:rsidR="0DFC984B">
        <w:t xml:space="preserve">Similar to the approach of the English courts in </w:t>
      </w:r>
      <w:r w:rsidR="0DFC984B" w:rsidRPr="21D6228F">
        <w:rPr>
          <w:i/>
          <w:iCs/>
        </w:rPr>
        <w:t>Bridges</w:t>
      </w:r>
      <w:r w:rsidR="0DFC984B">
        <w:t xml:space="preserve">, the Strasbourg court accepted that the use of LFR in the investigation constituted an interference with the applicant’s Article 8 rights but went on to find that </w:t>
      </w:r>
      <w:r w:rsidR="3908541E">
        <w:t>having regard to the nature</w:t>
      </w:r>
      <w:r w:rsidR="41F3DFE0">
        <w:t>,</w:t>
      </w:r>
      <w:r w:rsidR="3908541E">
        <w:t xml:space="preserve"> gravity </w:t>
      </w:r>
      <w:r w:rsidR="41F3DFE0">
        <w:t xml:space="preserve">and context </w:t>
      </w:r>
      <w:r w:rsidR="3908541E">
        <w:t xml:space="preserve">of the offence </w:t>
      </w:r>
      <w:r w:rsidR="7A955B26">
        <w:t xml:space="preserve">as well as the paucity of national law and policy on the use of LFR, the interference was not in that case justified. </w:t>
      </w:r>
      <w:r w:rsidR="72D4A0D7">
        <w:t>HIOWCs LFR Policy and other LFR documentation have been designed to ensure that the deployment of LFR is foreseeable, that it is only used in appropriate circumstances</w:t>
      </w:r>
      <w:r w:rsidR="41F3DFE0">
        <w:t xml:space="preserve">, that wider human rights considerations are taken into account, appropriate safeguards are in place and that individuals have a right of recourse. </w:t>
      </w:r>
    </w:p>
    <w:p w14:paraId="3465925D" w14:textId="139AD6F3" w:rsidR="0003265B" w:rsidRDefault="001835F2" w:rsidP="001A3E22">
      <w:pPr>
        <w:pStyle w:val="LFRNumberedBodyText"/>
      </w:pPr>
      <w:r>
        <w:t xml:space="preserve">Depending on the nature of the deployment, </w:t>
      </w:r>
      <w:r w:rsidR="0003265B">
        <w:t>and the specific technology being used and the manner of its deployment, there are potential impact on other human rights, including the right</w:t>
      </w:r>
      <w:r w:rsidR="00E6426C">
        <w:t>s</w:t>
      </w:r>
      <w:r w:rsidR="0003265B">
        <w:t xml:space="preserve"> to</w:t>
      </w:r>
      <w:r w:rsidR="006D48AD">
        <w:t xml:space="preserve"> liberty,</w:t>
      </w:r>
      <w:r w:rsidR="0003265B">
        <w:t xml:space="preserve"> freedom of assembly, freedom of thought, belief and religion, freedom of expression, freedom of association, and the protection </w:t>
      </w:r>
      <w:r w:rsidR="006D48AD">
        <w:t>from</w:t>
      </w:r>
      <w:r w:rsidR="0003265B">
        <w:t xml:space="preserve"> discrimination in respect of those rights and freedoms. </w:t>
      </w:r>
      <w:r w:rsidR="006D48AD">
        <w:t xml:space="preserve">A Human Rights Impact Assessment in respect of the potential interference with these rights, as well as a Community Impact Assessment and Equality Impact Assessment, are required by the HIOWC LFR Policy to be carried out prior to the deployment of LFR and to be kept under review. The LFR Application and Authorisation must address these rights where they are capable of being engaged. </w:t>
      </w:r>
    </w:p>
    <w:p w14:paraId="0DA076A5" w14:textId="6CEBA3AD" w:rsidR="003800A3" w:rsidRDefault="00021803" w:rsidP="34B17B6B">
      <w:pPr>
        <w:pStyle w:val="LFRNumberedBodyText"/>
        <w:numPr>
          <w:ilvl w:val="0"/>
          <w:numId w:val="0"/>
        </w:numPr>
      </w:pPr>
      <w:r>
        <w:t>Specific advice must be sought from Legal Services and the HIOWC LFR team prior to any seeking authorisation from an AO where a proposed deployment may engage wider human rights issues as detailed above.</w:t>
      </w:r>
    </w:p>
    <w:p w14:paraId="4C1B27A1" w14:textId="6BAE01D6" w:rsidR="00E7457A" w:rsidRPr="00E7457A" w:rsidRDefault="00E7457A" w:rsidP="00E7457A">
      <w:pPr>
        <w:keepNext/>
        <w:keepLines/>
        <w:numPr>
          <w:ilvl w:val="1"/>
          <w:numId w:val="4"/>
        </w:numPr>
        <w:tabs>
          <w:tab w:val="num" w:pos="360"/>
        </w:tabs>
        <w:ind w:left="426" w:hanging="426"/>
        <w:jc w:val="both"/>
        <w:rPr>
          <w:b/>
          <w:bCs/>
        </w:rPr>
      </w:pPr>
      <w:r w:rsidRPr="00E7457A">
        <w:rPr>
          <w:b/>
          <w:bCs/>
        </w:rPr>
        <w:t>There is a legal basis for the interference with the qualified right that the public can understand</w:t>
      </w:r>
      <w:r w:rsidR="00CF7176">
        <w:rPr>
          <w:b/>
          <w:bCs/>
        </w:rPr>
        <w:t xml:space="preserve">. </w:t>
      </w:r>
    </w:p>
    <w:p w14:paraId="48CC3789" w14:textId="77777777" w:rsidR="00E7457A" w:rsidRDefault="00E7457A" w:rsidP="00E7457A">
      <w:pPr>
        <w:pStyle w:val="ListParagraph"/>
        <w:keepNext/>
        <w:keepLines/>
        <w:ind w:left="709"/>
        <w:jc w:val="both"/>
        <w:rPr>
          <w:u w:val="single"/>
        </w:rPr>
      </w:pPr>
    </w:p>
    <w:p w14:paraId="5D7B70C3" w14:textId="6E646156" w:rsidR="00E7457A" w:rsidRDefault="6786A806" w:rsidP="00E7457A">
      <w:pPr>
        <w:pStyle w:val="ListParagraph"/>
        <w:keepNext/>
        <w:keepLines/>
        <w:ind w:left="426"/>
        <w:jc w:val="both"/>
      </w:pPr>
      <w:r>
        <w:t xml:space="preserve">LFR will be used to allow the </w:t>
      </w:r>
      <w:r w:rsidR="41F3DFE0">
        <w:t>HIOWC</w:t>
      </w:r>
      <w:r>
        <w:t xml:space="preserve"> to discharge its well</w:t>
      </w:r>
      <w:r w:rsidR="41F3DFE0">
        <w:t>-</w:t>
      </w:r>
      <w:r>
        <w:t>established operational duties pursuant to common law. The courts have recognised that “the rules need not be statutory, providing they operate within a framework of law and that there are effective means of enforcing them”.</w:t>
      </w:r>
      <w:r w:rsidR="00E7457A">
        <w:rPr>
          <w:rStyle w:val="FootnoteReference"/>
        </w:rPr>
        <w:footnoteReference w:id="5"/>
      </w:r>
      <w:r>
        <w:t xml:space="preserve"> </w:t>
      </w:r>
    </w:p>
    <w:p w14:paraId="63A1DB8E" w14:textId="77777777" w:rsidR="00E7457A" w:rsidRDefault="00E7457A" w:rsidP="00E7457A">
      <w:pPr>
        <w:pStyle w:val="ListParagraph"/>
        <w:ind w:left="426"/>
        <w:jc w:val="both"/>
      </w:pPr>
    </w:p>
    <w:p w14:paraId="5370B3F2" w14:textId="033FD537" w:rsidR="00E7457A" w:rsidRDefault="00E7457A" w:rsidP="00E7457A">
      <w:pPr>
        <w:pStyle w:val="ListParagraph"/>
        <w:ind w:left="426"/>
        <w:jc w:val="both"/>
      </w:pPr>
      <w:r>
        <w:t xml:space="preserve">In the case of </w:t>
      </w:r>
      <w:r>
        <w:rPr>
          <w:i/>
        </w:rPr>
        <w:t xml:space="preserve">R (Catt) v Chief Police Officers [2015] A.C. 1065, </w:t>
      </w:r>
      <w:r>
        <w:t xml:space="preserve">Lord Sumption recognised that applicants could have their personal information noted down and retained by the police as they occupied </w:t>
      </w:r>
      <w:r w:rsidR="00D35063">
        <w:t>publicly</w:t>
      </w:r>
      <w:r>
        <w:t xml:space="preserve"> accessible space. The court recognised the police’s common law powers to collect and store information are subject to an “intensive regime of statutory and administrative regulation” under the Data Protection Act and various guidance documents on the management of police information. </w:t>
      </w:r>
    </w:p>
    <w:p w14:paraId="25B43131" w14:textId="77777777" w:rsidR="00E7457A" w:rsidRDefault="00E7457A" w:rsidP="00E7457A">
      <w:pPr>
        <w:pStyle w:val="ListParagraph"/>
        <w:ind w:left="426"/>
        <w:jc w:val="both"/>
      </w:pPr>
    </w:p>
    <w:p w14:paraId="0CCFFC52" w14:textId="77777777" w:rsidR="00E7457A" w:rsidRDefault="6786A806" w:rsidP="00E7457A">
      <w:pPr>
        <w:pStyle w:val="ListParagraph"/>
        <w:ind w:left="426"/>
        <w:jc w:val="both"/>
      </w:pPr>
      <w:r>
        <w:lastRenderedPageBreak/>
        <w:t>The courts have further recognised the right of the police to make use of a photograph of an individual. The courts accepted the purposes of preventing and detecting crime, the investigation of alleged offences and the apprehension of suspects or persons unlawfully at large. This was the case whether or not the photograph is of any person they seek to arrest or of a suspect’s accomplice or of anyone else. The court confirmed the “key is that they must have these and only these purposes in mind and must … make no more than reasonable use of the picture in seeking to accomplish them”.</w:t>
      </w:r>
      <w:r w:rsidR="00E7457A">
        <w:rPr>
          <w:rStyle w:val="FootnoteReference"/>
        </w:rPr>
        <w:footnoteReference w:id="6"/>
      </w:r>
      <w:r>
        <w:t xml:space="preserve">  </w:t>
      </w:r>
    </w:p>
    <w:p w14:paraId="220F8F43" w14:textId="77777777" w:rsidR="00E7457A" w:rsidRDefault="00E7457A" w:rsidP="00E7457A">
      <w:pPr>
        <w:pStyle w:val="ListParagraph"/>
        <w:ind w:left="426"/>
        <w:jc w:val="both"/>
      </w:pPr>
    </w:p>
    <w:p w14:paraId="49F7BD07" w14:textId="2F30A911" w:rsidR="00E7457A" w:rsidRDefault="6786A806" w:rsidP="00E7457A">
      <w:pPr>
        <w:numPr>
          <w:ilvl w:val="1"/>
          <w:numId w:val="4"/>
        </w:numPr>
        <w:tabs>
          <w:tab w:val="num" w:pos="360"/>
        </w:tabs>
        <w:ind w:left="426" w:hanging="426"/>
        <w:jc w:val="both"/>
      </w:pPr>
      <w:r>
        <w:t xml:space="preserve">In the case of </w:t>
      </w:r>
      <w:r w:rsidR="2857547A">
        <w:t>HIOWC</w:t>
      </w:r>
      <w:r>
        <w:t>’s use of LFR, the LFR Legal Framework outlines the legal basis for any interference with an individual’s Article 8 rights. The High Court Bridges case confirmed the police’s common law policing powers to be “amply sufficient” in relation to this type of use of LFR and confirmed that “the police do not need new express statutory powers for this purpose”. This was further considered in the Court of Appeal Bridges case which also recognised the sufficiency of the legal framework, noting</w:t>
      </w:r>
      <w:r w:rsidR="00E7457A">
        <w:rPr>
          <w:rStyle w:val="FootnoteReference"/>
        </w:rPr>
        <w:footnoteReference w:id="7"/>
      </w:r>
      <w:r>
        <w:t xml:space="preserve">: </w:t>
      </w:r>
    </w:p>
    <w:p w14:paraId="401B9E85" w14:textId="082CBC4E" w:rsidR="00E7457A" w:rsidRPr="00E7457A" w:rsidRDefault="00E7457A" w:rsidP="00E7457A">
      <w:pPr>
        <w:pStyle w:val="Heading1"/>
        <w:numPr>
          <w:ilvl w:val="0"/>
          <w:numId w:val="0"/>
        </w:numPr>
        <w:tabs>
          <w:tab w:val="left" w:pos="720"/>
        </w:tabs>
        <w:ind w:left="720"/>
        <w:rPr>
          <w:rFonts w:eastAsiaTheme="minorHAnsi"/>
          <w:b w:val="0"/>
          <w:i/>
          <w:sz w:val="22"/>
        </w:rPr>
      </w:pPr>
      <w:bookmarkStart w:id="22" w:name="_Toc71884489"/>
      <w:bookmarkStart w:id="23" w:name="_Toc86654320"/>
      <w:bookmarkStart w:id="24" w:name="_Toc86660213"/>
      <w:r w:rsidRPr="00E7457A">
        <w:rPr>
          <w:rFonts w:eastAsiaTheme="minorHAnsi"/>
          <w:b w:val="0"/>
          <w:i/>
          <w:sz w:val="22"/>
        </w:rPr>
        <w:t>“the legal framework which regulates the deployment of [</w:t>
      </w:r>
      <w:r w:rsidR="00D74907">
        <w:rPr>
          <w:rFonts w:eastAsiaTheme="minorHAnsi"/>
          <w:b w:val="0"/>
          <w:i/>
          <w:sz w:val="22"/>
        </w:rPr>
        <w:t>SWP</w:t>
      </w:r>
      <w:r w:rsidRPr="00E7457A">
        <w:rPr>
          <w:rFonts w:eastAsiaTheme="minorHAnsi"/>
          <w:b w:val="0"/>
          <w:i/>
          <w:sz w:val="22"/>
        </w:rPr>
        <w:t>’s use of LFR] does contain safeguards which enable the proportionality of the interference with Article 8 rights to be adequately examined.”</w:t>
      </w:r>
      <w:bookmarkEnd w:id="22"/>
      <w:bookmarkEnd w:id="23"/>
      <w:bookmarkEnd w:id="24"/>
      <w:r w:rsidRPr="00E7457A">
        <w:rPr>
          <w:rFonts w:eastAsiaTheme="minorHAnsi"/>
          <w:b w:val="0"/>
          <w:i/>
          <w:sz w:val="22"/>
        </w:rPr>
        <w:t xml:space="preserve"> </w:t>
      </w:r>
    </w:p>
    <w:p w14:paraId="7E9D1A25" w14:textId="78D2BC1A" w:rsidR="00E7457A" w:rsidRDefault="00E7457A" w:rsidP="00E7457A">
      <w:pPr>
        <w:numPr>
          <w:ilvl w:val="1"/>
          <w:numId w:val="4"/>
        </w:numPr>
        <w:tabs>
          <w:tab w:val="num" w:pos="360"/>
        </w:tabs>
        <w:ind w:left="426" w:hanging="426"/>
        <w:jc w:val="both"/>
      </w:pPr>
      <w:r>
        <w:t xml:space="preserve">The Court of Appeal Bridges decision </w:t>
      </w:r>
      <w:r w:rsidR="009A31A5">
        <w:t>recited without objection the Divisional Court’s exposition of the law</w:t>
      </w:r>
      <w:r>
        <w:t xml:space="preserve"> that, to be ‘in accordance with the law’ the legal basis must:</w:t>
      </w:r>
    </w:p>
    <w:p w14:paraId="4F79B9B1" w14:textId="1DB51D02" w:rsidR="00E7457A" w:rsidRPr="00935C24" w:rsidRDefault="00E7457A" w:rsidP="00935C24">
      <w:pPr>
        <w:pStyle w:val="Heading1"/>
        <w:numPr>
          <w:ilvl w:val="0"/>
          <w:numId w:val="0"/>
        </w:numPr>
        <w:tabs>
          <w:tab w:val="left" w:pos="720"/>
        </w:tabs>
        <w:ind w:left="720"/>
        <w:rPr>
          <w:rFonts w:eastAsiaTheme="minorHAnsi"/>
          <w:b w:val="0"/>
          <w:i/>
          <w:sz w:val="22"/>
        </w:rPr>
      </w:pPr>
      <w:bookmarkStart w:id="25" w:name="_Toc71884490"/>
      <w:bookmarkStart w:id="26" w:name="_Toc86654321"/>
      <w:bookmarkStart w:id="27" w:name="_Toc86660214"/>
      <w:r w:rsidRPr="00E7457A">
        <w:rPr>
          <w:rFonts w:eastAsiaTheme="minorHAnsi"/>
          <w:b w:val="0"/>
          <w:i/>
          <w:sz w:val="22"/>
        </w:rPr>
        <w:t>“be ‘accessible’ to the person concerned, meaning that it must be published and comprehensible, and it must be possible to discover what its provisions are. The measure must be ‘foreseeable’ meaning that it must be possible for a person to foresee its consequences for them and it should not ‘confer a discretion so broad that its scope is in practice dependant on the will of those who apply it, rather than on the law itself”.</w:t>
      </w:r>
      <w:bookmarkEnd w:id="25"/>
      <w:bookmarkEnd w:id="26"/>
      <w:bookmarkEnd w:id="27"/>
    </w:p>
    <w:p w14:paraId="432000D3" w14:textId="6A998F6B" w:rsidR="00E7457A" w:rsidRDefault="00E7457A" w:rsidP="00E7457A">
      <w:pPr>
        <w:numPr>
          <w:ilvl w:val="1"/>
          <w:numId w:val="4"/>
        </w:numPr>
        <w:ind w:left="426" w:hanging="426"/>
        <w:jc w:val="both"/>
      </w:pPr>
      <w:r>
        <w:t xml:space="preserve">In considering accessibility and foreseeability, the Court of Appeal considered the level of discretion that South Wales Police officers held in the case before it to determine </w:t>
      </w:r>
      <w:r>
        <w:rPr>
          <w:i/>
        </w:rPr>
        <w:t>where</w:t>
      </w:r>
      <w:r>
        <w:t xml:space="preserve"> they deployed facial recognition technology and </w:t>
      </w:r>
      <w:r>
        <w:rPr>
          <w:i/>
        </w:rPr>
        <w:t>who</w:t>
      </w:r>
      <w:r>
        <w:t xml:space="preserve"> they deployed it </w:t>
      </w:r>
      <w:r w:rsidR="00312592">
        <w:t xml:space="preserve">against </w:t>
      </w:r>
      <w:r>
        <w:t>to locate those on a Watchlist. The court refers to this as the “</w:t>
      </w:r>
      <w:r>
        <w:rPr>
          <w:u w:val="single"/>
        </w:rPr>
        <w:t>Who Question</w:t>
      </w:r>
      <w:r>
        <w:t>” and the “</w:t>
      </w:r>
      <w:r>
        <w:rPr>
          <w:u w:val="single"/>
        </w:rPr>
        <w:t>Where Question</w:t>
      </w:r>
      <w:r>
        <w:t xml:space="preserve">”.  </w:t>
      </w:r>
    </w:p>
    <w:p w14:paraId="408E326E" w14:textId="2CD4C7E2" w:rsidR="00E7457A" w:rsidRPr="00E7457A" w:rsidRDefault="6786A806" w:rsidP="00E14901">
      <w:pPr>
        <w:pStyle w:val="ListParagraph"/>
        <w:keepNext/>
        <w:numPr>
          <w:ilvl w:val="0"/>
          <w:numId w:val="8"/>
        </w:numPr>
        <w:jc w:val="both"/>
        <w:rPr>
          <w:rFonts w:ascii="Arial" w:hAnsi="Arial" w:cs="Arial"/>
        </w:rPr>
      </w:pPr>
      <w:r w:rsidRPr="00E7457A">
        <w:rPr>
          <w:u w:val="single"/>
        </w:rPr>
        <w:t>The ‘Who’ Question</w:t>
      </w:r>
      <w:r>
        <w:t xml:space="preserve">:  </w:t>
      </w:r>
      <w:r w:rsidRPr="42CA59D7">
        <w:t>When considering how the ‘Who Question’ should be answered, the Court of Appeal made it clear that, the law does not seek specific confirmation as to who is on a Watchlist (they recognise the NCND principle</w:t>
      </w:r>
      <w:r w:rsidR="00E7457A" w:rsidRPr="42CA59D7">
        <w:rPr>
          <w:rStyle w:val="ListParagraphChar"/>
          <w:vertAlign w:val="superscript"/>
        </w:rPr>
        <w:footnoteReference w:id="8"/>
      </w:r>
      <w:r w:rsidRPr="42CA59D7">
        <w:t xml:space="preserve">). The Court of Appeal recognised that individuals could be added to a </w:t>
      </w:r>
      <w:r w:rsidR="7077AFB0" w:rsidRPr="42CA59D7">
        <w:t>w</w:t>
      </w:r>
      <w:r w:rsidRPr="42CA59D7">
        <w:t xml:space="preserve">atchlist on the basis that they are wanted on suspicion of an offence, wanted on warrant and vulnerable persons. </w:t>
      </w:r>
    </w:p>
    <w:p w14:paraId="2A317D7B" w14:textId="77777777" w:rsidR="00E7457A" w:rsidRDefault="00E7457A" w:rsidP="00E7457A">
      <w:pPr>
        <w:pStyle w:val="ListParagraph"/>
        <w:keepNext/>
        <w:ind w:left="809"/>
        <w:jc w:val="both"/>
        <w:rPr>
          <w:rFonts w:ascii="Arial" w:hAnsi="Arial" w:cs="Arial"/>
        </w:rPr>
      </w:pPr>
    </w:p>
    <w:p w14:paraId="47A79127" w14:textId="77777777" w:rsidR="00E7457A" w:rsidRPr="00E7457A" w:rsidRDefault="00E7457A" w:rsidP="00E14901">
      <w:pPr>
        <w:pStyle w:val="ListParagraph"/>
        <w:keepNext/>
        <w:numPr>
          <w:ilvl w:val="0"/>
          <w:numId w:val="8"/>
        </w:numPr>
        <w:jc w:val="both"/>
        <w:rPr>
          <w:rFonts w:ascii="Arial" w:hAnsi="Arial" w:cs="Arial"/>
        </w:rPr>
      </w:pPr>
      <w:r w:rsidRPr="00E7457A">
        <w:rPr>
          <w:rFonts w:cstheme="minorHAnsi"/>
        </w:rPr>
        <w:t xml:space="preserve">The Court of Appeal also explains why a category of those “other persons where intelligence is required” was not accessible and foreseeable to meet the ‘in accordance with the law’ test. They noted that the category was not </w:t>
      </w:r>
      <w:r w:rsidRPr="00E7457A">
        <w:rPr>
          <w:rFonts w:cstheme="minorHAnsi"/>
          <w:u w:val="single"/>
        </w:rPr>
        <w:t>readily understood</w:t>
      </w:r>
      <w:r w:rsidRPr="00E7457A">
        <w:rPr>
          <w:rFonts w:cstheme="minorHAnsi"/>
        </w:rPr>
        <w:t xml:space="preserve">, nor was it </w:t>
      </w:r>
      <w:r w:rsidRPr="00E7457A">
        <w:rPr>
          <w:rFonts w:cstheme="minorHAnsi"/>
          <w:u w:val="single"/>
        </w:rPr>
        <w:t>objective</w:t>
      </w:r>
      <w:r w:rsidRPr="00E7457A">
        <w:rPr>
          <w:rFonts w:cstheme="minorHAnsi"/>
        </w:rPr>
        <w:t xml:space="preserve"> – it left “too broad a discretion vested in the individual police officer to decide who should go onto the watchlist” – essentially it allowed police officers to decide what ‘other persons where intelligence is required’ </w:t>
      </w:r>
      <w:r w:rsidRPr="00E7457A">
        <w:rPr>
          <w:rFonts w:cstheme="minorHAnsi"/>
        </w:rPr>
        <w:lastRenderedPageBreak/>
        <w:t>meant on a case-by-case basis rather than deciding if a subject met the criteria set out in the force policy.</w:t>
      </w:r>
    </w:p>
    <w:p w14:paraId="02786B39" w14:textId="77777777" w:rsidR="00E7457A" w:rsidRDefault="00E7457A" w:rsidP="00E7457A">
      <w:pPr>
        <w:pStyle w:val="ListParagraph"/>
        <w:keepNext/>
        <w:ind w:left="809"/>
        <w:jc w:val="both"/>
      </w:pPr>
    </w:p>
    <w:p w14:paraId="60B62C51" w14:textId="365D84A4" w:rsidR="00E7457A" w:rsidRPr="00CF7176" w:rsidRDefault="5A27C2F3" w:rsidP="00CF7176">
      <w:pPr>
        <w:pStyle w:val="ListParagraph"/>
        <w:numPr>
          <w:ilvl w:val="0"/>
          <w:numId w:val="8"/>
        </w:numPr>
        <w:rPr>
          <w:color w:val="000000" w:themeColor="text1"/>
        </w:rPr>
      </w:pPr>
      <w:r w:rsidRPr="323A4EF9">
        <w:t xml:space="preserve">Following </w:t>
      </w:r>
      <w:r w:rsidR="61703E60">
        <w:t>the</w:t>
      </w:r>
      <w:r w:rsidRPr="323A4EF9">
        <w:t xml:space="preserve"> approach recognised by the Court of Appeal</w:t>
      </w:r>
      <w:r w:rsidR="003021B0" w:rsidRPr="323A4EF9">
        <w:rPr>
          <w:rStyle w:val="FootnoteReference"/>
        </w:rPr>
        <w:footnoteReference w:id="9"/>
      </w:r>
      <w:r w:rsidR="6786A806" w:rsidRPr="323A4EF9">
        <w:t xml:space="preserve">, </w:t>
      </w:r>
      <w:r w:rsidR="61703E60">
        <w:t>HIOWC</w:t>
      </w:r>
      <w:r w:rsidR="6786A806" w:rsidRPr="323A4EF9">
        <w:t xml:space="preserve"> addresses the ‘Who Question’ in its published </w:t>
      </w:r>
      <w:r w:rsidR="1C7D7902">
        <w:t>HIOWC</w:t>
      </w:r>
      <w:r w:rsidR="6786A806" w:rsidRPr="323A4EF9">
        <w:t xml:space="preserve"> LFR Docum</w:t>
      </w:r>
      <w:r w:rsidR="6786A806" w:rsidRPr="00313BF8">
        <w:rPr>
          <w:color w:val="000000" w:themeColor="text1"/>
        </w:rPr>
        <w:t xml:space="preserve">ents, particularly at </w:t>
      </w:r>
      <w:r w:rsidR="173AE91E">
        <w:rPr>
          <w:color w:val="000000" w:themeColor="text1"/>
        </w:rPr>
        <w:t xml:space="preserve">Section 9 of the HIOWC LFR Policy </w:t>
      </w:r>
      <w:r w:rsidR="3D1E48CF">
        <w:rPr>
          <w:color w:val="000000" w:themeColor="text1"/>
        </w:rPr>
        <w:t xml:space="preserve">‘Watchlist Considerations’ </w:t>
      </w:r>
      <w:r w:rsidR="173AE91E">
        <w:rPr>
          <w:color w:val="000000" w:themeColor="text1"/>
        </w:rPr>
        <w:t xml:space="preserve">and </w:t>
      </w:r>
      <w:r w:rsidR="6786A806" w:rsidRPr="00CF7176">
        <w:rPr>
          <w:color w:val="000000" w:themeColor="text1"/>
        </w:rPr>
        <w:t xml:space="preserve">Section 6 of the </w:t>
      </w:r>
      <w:r w:rsidR="38C6E975" w:rsidRPr="00CF7176">
        <w:rPr>
          <w:color w:val="000000" w:themeColor="text1"/>
        </w:rPr>
        <w:t>HIOWC</w:t>
      </w:r>
      <w:r w:rsidR="6786A806" w:rsidRPr="00CF7176">
        <w:rPr>
          <w:color w:val="000000" w:themeColor="text1"/>
        </w:rPr>
        <w:t xml:space="preserve"> SOP</w:t>
      </w:r>
      <w:r w:rsidR="38C6E975" w:rsidRPr="00CF7176">
        <w:rPr>
          <w:color w:val="000000" w:themeColor="text1"/>
        </w:rPr>
        <w:t xml:space="preserve"> ‘‘Who’</w:t>
      </w:r>
      <w:r w:rsidR="38C6E975" w:rsidRPr="00313BF8">
        <w:rPr>
          <w:color w:val="000000" w:themeColor="text1"/>
        </w:rPr>
        <w:t xml:space="preserve"> - Watchlist Generation and Criteria for an Image’s Inclusion on a Watchlist</w:t>
      </w:r>
      <w:r w:rsidR="38C6E975">
        <w:t>‘</w:t>
      </w:r>
      <w:r w:rsidR="6786A806" w:rsidRPr="323A4EF9">
        <w:t xml:space="preserve">. </w:t>
      </w:r>
      <w:r w:rsidR="38C6E975">
        <w:t>HIOWC</w:t>
      </w:r>
      <w:r w:rsidR="486DE9CA">
        <w:t xml:space="preserve"> LFR Policy and SOP</w:t>
      </w:r>
      <w:r w:rsidR="6786A806" w:rsidRPr="323A4EF9">
        <w:t xml:space="preserve"> set the criteria that applies to govern the images that may be included on a Watchlist and in what circumstances. </w:t>
      </w:r>
      <w:r w:rsidR="2BE5CD05">
        <w:t xml:space="preserve">They set </w:t>
      </w:r>
      <w:r w:rsidR="6786A806" w:rsidRPr="323A4EF9">
        <w:t xml:space="preserve">out the standard required for inclusion on a </w:t>
      </w:r>
      <w:r w:rsidR="7077AFB0">
        <w:t>w</w:t>
      </w:r>
      <w:r w:rsidR="6786A806" w:rsidRPr="323A4EF9">
        <w:t xml:space="preserve">atchlist, linking the necessity and criteria for the inclusion on a </w:t>
      </w:r>
      <w:r w:rsidR="7077AFB0">
        <w:t>w</w:t>
      </w:r>
      <w:r w:rsidR="6786A806" w:rsidRPr="323A4EF9">
        <w:t xml:space="preserve">atchlist with the policing need and the proportionality of taking any action. </w:t>
      </w:r>
    </w:p>
    <w:p w14:paraId="47CF0BA0" w14:textId="5DCE4D44" w:rsidR="00E7457A" w:rsidRDefault="00E7457A" w:rsidP="00E7457A">
      <w:pPr>
        <w:pStyle w:val="ListParagraph"/>
        <w:rPr>
          <w:rFonts w:ascii="Arial" w:hAnsi="Arial" w:cs="Arial"/>
        </w:rPr>
      </w:pPr>
    </w:p>
    <w:p w14:paraId="6CFDCEB1" w14:textId="4E8BBC13" w:rsidR="00E7457A" w:rsidRPr="001212F3" w:rsidRDefault="00E7457A" w:rsidP="001212F3">
      <w:pPr>
        <w:pStyle w:val="ListParagraph"/>
        <w:keepNext/>
        <w:numPr>
          <w:ilvl w:val="0"/>
          <w:numId w:val="8"/>
        </w:numPr>
        <w:jc w:val="both"/>
        <w:rPr>
          <w:rFonts w:ascii="Arial" w:hAnsi="Arial" w:cs="Arial"/>
        </w:rPr>
      </w:pPr>
      <w:r w:rsidRPr="001212F3">
        <w:rPr>
          <w:u w:val="single"/>
        </w:rPr>
        <w:t>The ‘Where Question</w:t>
      </w:r>
      <w:r>
        <w:t xml:space="preserve">:  The Court of Appeal noted that the South Wales Police team “was not able to draw to our attention anything which specifies where AFR Locate may be deployed”. </w:t>
      </w:r>
      <w:r w:rsidR="008D1F1B">
        <w:t>HIOWC</w:t>
      </w:r>
      <w:r>
        <w:t xml:space="preserve"> LFR Documents answer this question, particularly the</w:t>
      </w:r>
      <w:r w:rsidRPr="001212F3">
        <w:rPr>
          <w:color w:val="FF0000"/>
        </w:rPr>
        <w:t xml:space="preserve"> </w:t>
      </w:r>
      <w:r w:rsidR="001212F3" w:rsidRPr="001212F3">
        <w:rPr>
          <w:color w:val="000000" w:themeColor="text1"/>
        </w:rPr>
        <w:t xml:space="preserve">HIOWC </w:t>
      </w:r>
      <w:r w:rsidRPr="00CF7176">
        <w:rPr>
          <w:color w:val="000000" w:themeColor="text1"/>
        </w:rPr>
        <w:t>LFR SOP at Section 5</w:t>
      </w:r>
      <w:r w:rsidR="001212F3" w:rsidRPr="001212F3">
        <w:rPr>
          <w:color w:val="000000" w:themeColor="text1"/>
        </w:rPr>
        <w:t xml:space="preserve"> ‘‘Where’ - Date, Time, Duration and Location of Deployment’</w:t>
      </w:r>
      <w:r w:rsidRPr="001212F3">
        <w:rPr>
          <w:color w:val="000000" w:themeColor="text1"/>
        </w:rPr>
        <w:t xml:space="preserve">. </w:t>
      </w:r>
      <w:r>
        <w:t xml:space="preserve">In answering this question, in many instances, the need to locate a person </w:t>
      </w:r>
      <w:r w:rsidR="00D50F4E">
        <w:t xml:space="preserve">and the likelihood of their being present </w:t>
      </w:r>
      <w:r>
        <w:t>will determine where it is best to site LFR to facilitate making a successful location. However, other factors will also be relevant and these include the nature of the site itself</w:t>
      </w:r>
      <w:r w:rsidR="00451507">
        <w:t>,</w:t>
      </w:r>
      <w:r>
        <w:t xml:space="preserve"> </w:t>
      </w:r>
      <w:r w:rsidR="003557B9">
        <w:t>the implications for human rights</w:t>
      </w:r>
      <w:r>
        <w:t>, those passing the site, and the policing need to be at the site (including for the public’s protection</w:t>
      </w:r>
      <w:r w:rsidR="00726212">
        <w:t>, supressing crime hotspots, and getting ahead of crime trends</w:t>
      </w:r>
      <w:r>
        <w:t xml:space="preserve">).  </w:t>
      </w:r>
    </w:p>
    <w:p w14:paraId="409D6A7C" w14:textId="7BA07702" w:rsidR="00E7457A" w:rsidRDefault="00656B10" w:rsidP="00B857B9">
      <w:pPr>
        <w:ind w:left="720"/>
        <w:jc w:val="both"/>
      </w:pPr>
      <w:r>
        <w:t xml:space="preserve">With the benefit of the </w:t>
      </w:r>
      <w:r w:rsidRPr="42CA59D7">
        <w:rPr>
          <w:i/>
          <w:iCs/>
        </w:rPr>
        <w:t>Bridges</w:t>
      </w:r>
      <w:r>
        <w:t xml:space="preserve"> decisions, the law has now been applied to the live use of facial recognition technology. These judicial decisions, taken together with </w:t>
      </w:r>
      <w:r w:rsidR="001957DB">
        <w:t>HIOWC</w:t>
      </w:r>
      <w:r w:rsidR="00FF2DD9">
        <w:t>’</w:t>
      </w:r>
      <w:r>
        <w:t xml:space="preserve">s published documentation to support the use of LFR allows the LFR Legal Framework principles to be predictably applied to the use of LFR in an accessible and understandable way. It allows the public </w:t>
      </w:r>
      <w:r w:rsidR="001A416E">
        <w:t xml:space="preserve">approaching or </w:t>
      </w:r>
      <w:r>
        <w:t xml:space="preserve">passing </w:t>
      </w:r>
      <w:r w:rsidR="001A416E">
        <w:t xml:space="preserve">through </w:t>
      </w:r>
      <w:r>
        <w:t xml:space="preserve">an LFR </w:t>
      </w:r>
      <w:r w:rsidR="001A416E">
        <w:t xml:space="preserve">recognition zone </w:t>
      </w:r>
      <w:r>
        <w:t xml:space="preserve">and those who may be placed on a </w:t>
      </w:r>
      <w:r w:rsidR="008F734B">
        <w:t>w</w:t>
      </w:r>
      <w:r>
        <w:t xml:space="preserve">atchlist to understand the standards </w:t>
      </w:r>
      <w:r w:rsidR="001A416E">
        <w:t>HIOWC</w:t>
      </w:r>
      <w:r>
        <w:t xml:space="preserve"> operate to, including setting out the authorisation process and requirements to deploy LFR, details about where LFR may be used, and the considerations and constraints relevant as to who may be placed on an LFR </w:t>
      </w:r>
      <w:r w:rsidR="008F734B">
        <w:t>w</w:t>
      </w:r>
      <w:r>
        <w:t>atchlist</w:t>
      </w:r>
      <w:r w:rsidR="00270FF3">
        <w:t xml:space="preserve">, as well as how they can obtain further information or seek recourse. </w:t>
      </w:r>
    </w:p>
    <w:p w14:paraId="10F89DEE" w14:textId="77777777" w:rsidR="00E7457A" w:rsidRDefault="00E7457A" w:rsidP="00E7457A">
      <w:pPr>
        <w:pStyle w:val="LFRNumberedBodyText"/>
        <w:numPr>
          <w:ilvl w:val="0"/>
          <w:numId w:val="0"/>
        </w:numPr>
        <w:ind w:left="576"/>
        <w:rPr>
          <w:b/>
          <w:bCs/>
        </w:rPr>
      </w:pPr>
    </w:p>
    <w:p w14:paraId="61AB401B" w14:textId="741CD3DC" w:rsidR="00774494" w:rsidRPr="00B7734E" w:rsidRDefault="009F7CD6" w:rsidP="00712488">
      <w:pPr>
        <w:pStyle w:val="LFRNumberedBodyText"/>
        <w:rPr>
          <w:b/>
          <w:bCs/>
        </w:rPr>
      </w:pPr>
      <w:r w:rsidRPr="00B7734E">
        <w:rPr>
          <w:b/>
          <w:bCs/>
        </w:rPr>
        <w:t>The use of LFR seeks to achieve a legitimate aim</w:t>
      </w:r>
    </w:p>
    <w:p w14:paraId="69B73D2B" w14:textId="32F633FB" w:rsidR="009F7CD6" w:rsidRPr="004507D5" w:rsidRDefault="009F7CD6" w:rsidP="497CB054">
      <w:pPr>
        <w:pStyle w:val="ListParagraph"/>
        <w:numPr>
          <w:ilvl w:val="0"/>
          <w:numId w:val="1"/>
        </w:numPr>
        <w:spacing w:after="0" w:line="240" w:lineRule="auto"/>
        <w:ind w:left="567"/>
        <w:rPr>
          <w:rFonts w:ascii="Calibri" w:hAnsi="Calibri" w:cs="Calibri"/>
        </w:rPr>
      </w:pPr>
      <w:r>
        <w:t>Article 8</w:t>
      </w:r>
      <w:r w:rsidR="7E9E62B6">
        <w:t xml:space="preserve"> </w:t>
      </w:r>
      <w:r>
        <w:t>recognises action in the interests of national security, public safety and the prevention of disorder and crime as legitimate aims.  The use of LFR in the context of assisting</w:t>
      </w:r>
      <w:r w:rsidR="7E9E62B6">
        <w:t xml:space="preserve"> HIOWC</w:t>
      </w:r>
      <w:r w:rsidR="59986C37">
        <w:t xml:space="preserve"> </w:t>
      </w:r>
      <w:r w:rsidR="7E9E62B6">
        <w:t xml:space="preserve">to </w:t>
      </w:r>
      <w:r w:rsidR="340755C6">
        <w:t xml:space="preserve">locate persons wanted </w:t>
      </w:r>
      <w:r w:rsidR="00580B1D" w:rsidRPr="497CB054">
        <w:rPr>
          <w:rFonts w:ascii="Calibri" w:hAnsi="Calibri" w:cs="Calibri"/>
        </w:rPr>
        <w:t>(on warrant, recall to prison, suspected of / likely to commit an offence); to enforce court or police-imposed orders / conditions; who pose a risk of harm or are at risk of harm; missing persons</w:t>
      </w:r>
      <w:r w:rsidR="54F686E2" w:rsidRPr="497CB054">
        <w:rPr>
          <w:rFonts w:ascii="Calibri" w:hAnsi="Calibri" w:cs="Calibri"/>
        </w:rPr>
        <w:t xml:space="preserve"> </w:t>
      </w:r>
      <w:r w:rsidR="54F686E2" w:rsidRPr="497CB054">
        <w:rPr>
          <w:rStyle w:val="Hyperlink"/>
          <w:rFonts w:eastAsia="MS Mincho"/>
          <w:color w:val="auto"/>
          <w:u w:val="none"/>
        </w:rPr>
        <w:t>(may include all risk levels)</w:t>
      </w:r>
      <w:r w:rsidR="00580B1D" w:rsidRPr="497CB054">
        <w:rPr>
          <w:rFonts w:ascii="Calibri" w:hAnsi="Calibri" w:cs="Calibri"/>
        </w:rPr>
        <w:t>; or a victim / witness to a serious crime.</w:t>
      </w:r>
      <w:r w:rsidR="004507D5" w:rsidRPr="497CB054">
        <w:rPr>
          <w:rFonts w:ascii="Calibri" w:hAnsi="Calibri" w:cs="Calibri"/>
        </w:rPr>
        <w:t xml:space="preserve">  </w:t>
      </w:r>
      <w:r w:rsidR="410FDBCA">
        <w:t>HIOWC</w:t>
      </w:r>
      <w:r>
        <w:t xml:space="preserve"> achieve its law enforcement purposes</w:t>
      </w:r>
      <w:r w:rsidR="1FC656F9">
        <w:t xml:space="preserve"> of the prevention and detection of crime and the apprehension and prosecution of offenders, as well as to support the administration of justice and </w:t>
      </w:r>
      <w:r w:rsidR="05F03009">
        <w:t>the fulfilment of its other common law obligations</w:t>
      </w:r>
    </w:p>
    <w:p w14:paraId="14B9237D" w14:textId="7C153BB2" w:rsidR="00726212" w:rsidRDefault="00726212" w:rsidP="006D2491">
      <w:pPr>
        <w:pStyle w:val="ListParagraph"/>
        <w:keepNext/>
        <w:ind w:left="576"/>
        <w:jc w:val="both"/>
      </w:pPr>
      <w:r>
        <w:lastRenderedPageBreak/>
        <w:t xml:space="preserve">The means by which </w:t>
      </w:r>
      <w:r w:rsidR="006F51F8">
        <w:t>HIOWC</w:t>
      </w:r>
      <w:r>
        <w:t xml:space="preserve"> may use LFR will be an operational decision </w:t>
      </w:r>
      <w:r w:rsidR="006F51F8">
        <w:t xml:space="preserve">taken </w:t>
      </w:r>
      <w:r>
        <w:t xml:space="preserve">within the parameters of the law and </w:t>
      </w:r>
      <w:r w:rsidR="006F51F8">
        <w:t xml:space="preserve">HIOWC </w:t>
      </w:r>
      <w:r>
        <w:t>LFR Documents</w:t>
      </w:r>
      <w:r w:rsidR="006F51F8">
        <w:t xml:space="preserve"> and recorded in the HIOWC LFR Authorisation</w:t>
      </w:r>
      <w:r>
        <w:t>. It will need to be driven by the policing issue</w:t>
      </w:r>
      <w:r w:rsidR="006F51F8">
        <w:t>(s)</w:t>
      </w:r>
      <w:r>
        <w:t xml:space="preserve"> at hand. </w:t>
      </w:r>
    </w:p>
    <w:p w14:paraId="17C58F39" w14:textId="77777777" w:rsidR="00726212" w:rsidRDefault="00726212" w:rsidP="009F7CD6">
      <w:pPr>
        <w:pStyle w:val="LFRNumberedBodyText"/>
        <w:numPr>
          <w:ilvl w:val="0"/>
          <w:numId w:val="0"/>
        </w:numPr>
        <w:ind w:left="576"/>
      </w:pPr>
    </w:p>
    <w:tbl>
      <w:tblPr>
        <w:tblStyle w:val="TableGrid"/>
        <w:tblW w:w="0" w:type="auto"/>
        <w:tblInd w:w="576" w:type="dxa"/>
        <w:tblLook w:val="04A0" w:firstRow="1" w:lastRow="0" w:firstColumn="1" w:lastColumn="0" w:noHBand="0" w:noVBand="1"/>
      </w:tblPr>
      <w:tblGrid>
        <w:gridCol w:w="8440"/>
      </w:tblGrid>
      <w:tr w:rsidR="009F7CD6" w14:paraId="4DB0FA86" w14:textId="77777777" w:rsidTr="009F7CD6">
        <w:tc>
          <w:tcPr>
            <w:tcW w:w="9016" w:type="dxa"/>
          </w:tcPr>
          <w:p w14:paraId="3A4D9745" w14:textId="24829196" w:rsidR="009F7CD6" w:rsidRDefault="009F7CD6" w:rsidP="009F7CD6">
            <w:pPr>
              <w:pStyle w:val="LFRNumberedBodyText"/>
              <w:numPr>
                <w:ilvl w:val="0"/>
                <w:numId w:val="0"/>
              </w:numPr>
            </w:pPr>
            <w:r w:rsidRPr="00706A65">
              <w:rPr>
                <w:b/>
                <w:bCs/>
              </w:rPr>
              <w:t>Authorising Officer</w:t>
            </w:r>
            <w:r w:rsidR="00706A65" w:rsidRPr="00706A65">
              <w:rPr>
                <w:b/>
                <w:bCs/>
              </w:rPr>
              <w:t>s</w:t>
            </w:r>
            <w:r w:rsidRPr="00706A65">
              <w:rPr>
                <w:b/>
                <w:bCs/>
              </w:rPr>
              <w:t>:</w:t>
            </w:r>
            <w:r>
              <w:t xml:space="preserve"> At the point that it is decided to deploy LFR, the decision maker must be clear as to its purpose and how using LFR will help </w:t>
            </w:r>
            <w:r w:rsidR="00A52A70">
              <w:t>HIOWC</w:t>
            </w:r>
            <w:r>
              <w:t xml:space="preserve"> realise a </w:t>
            </w:r>
            <w:r w:rsidR="00A52A70">
              <w:t xml:space="preserve">specified </w:t>
            </w:r>
            <w:r>
              <w:t xml:space="preserve">legitimate aim.  In deciding if the use of LFR is a suitable way to achieve a legitimate aim, the decision maker must consider if benefits of using LFR justify its use for the legitimate aim when compared to any impact on </w:t>
            </w:r>
            <w:r w:rsidR="00031D29">
              <w:t>affected individuals’ human rights</w:t>
            </w:r>
            <w:r>
              <w:t>.</w:t>
            </w:r>
          </w:p>
        </w:tc>
      </w:tr>
    </w:tbl>
    <w:p w14:paraId="656D0A9B" w14:textId="4095B960" w:rsidR="009F7CD6" w:rsidRDefault="009F7CD6" w:rsidP="009F7CD6">
      <w:pPr>
        <w:pStyle w:val="LFRNumberedBodyText"/>
        <w:numPr>
          <w:ilvl w:val="0"/>
          <w:numId w:val="0"/>
        </w:numPr>
        <w:ind w:left="576"/>
      </w:pPr>
    </w:p>
    <w:p w14:paraId="512FC1F6" w14:textId="51CBB25C" w:rsidR="00B7734E" w:rsidRDefault="00B7734E" w:rsidP="00B7734E">
      <w:pPr>
        <w:pStyle w:val="LFRNumberedBodyText"/>
        <w:rPr>
          <w:b/>
          <w:bCs/>
        </w:rPr>
      </w:pPr>
      <w:r w:rsidRPr="00B7734E">
        <w:rPr>
          <w:b/>
          <w:bCs/>
        </w:rPr>
        <w:t xml:space="preserve">The use of LFR is </w:t>
      </w:r>
      <w:r w:rsidRPr="00B7734E">
        <w:rPr>
          <w:b/>
          <w:bCs/>
          <w:i/>
          <w:iCs/>
        </w:rPr>
        <w:t xml:space="preserve">necessary </w:t>
      </w:r>
      <w:r w:rsidRPr="00B7734E">
        <w:rPr>
          <w:b/>
          <w:bCs/>
        </w:rPr>
        <w:t>for the purposes of that legitimate aim in a democratic society</w:t>
      </w:r>
    </w:p>
    <w:p w14:paraId="0E8665D7" w14:textId="0D62D317" w:rsidR="00B7734E" w:rsidRDefault="00B7734E" w:rsidP="00B7734E">
      <w:pPr>
        <w:pStyle w:val="LFRNumberedBodyText"/>
        <w:numPr>
          <w:ilvl w:val="0"/>
          <w:numId w:val="0"/>
        </w:numPr>
        <w:ind w:left="576"/>
      </w:pPr>
      <w:r>
        <w:t xml:space="preserve">LFR will be used in response to a pressing social need by helping </w:t>
      </w:r>
      <w:r w:rsidR="007A0A14">
        <w:t>HIOWC</w:t>
      </w:r>
      <w:r>
        <w:t xml:space="preserve"> combat crime </w:t>
      </w:r>
      <w:r w:rsidR="00CF7176">
        <w:t>and</w:t>
      </w:r>
      <w:r w:rsidR="007A0A14">
        <w:t xml:space="preserve"> safeguard the vulnerable </w:t>
      </w:r>
      <w:r>
        <w:t xml:space="preserve">in areas where LFR has the greatest potential to assist.  It is a tool that helps </w:t>
      </w:r>
      <w:r w:rsidR="007A0A14">
        <w:t>HIOWC</w:t>
      </w:r>
      <w:r>
        <w:t xml:space="preserve"> to discharge its operational responsibilities, primarily to help prevent and detect crime and protect the most vulnerable.</w:t>
      </w:r>
    </w:p>
    <w:tbl>
      <w:tblPr>
        <w:tblStyle w:val="TableGrid"/>
        <w:tblW w:w="0" w:type="auto"/>
        <w:tblInd w:w="576" w:type="dxa"/>
        <w:tblLook w:val="04A0" w:firstRow="1" w:lastRow="0" w:firstColumn="1" w:lastColumn="0" w:noHBand="0" w:noVBand="1"/>
      </w:tblPr>
      <w:tblGrid>
        <w:gridCol w:w="8440"/>
      </w:tblGrid>
      <w:tr w:rsidR="00B7734E" w14:paraId="49ACB51D" w14:textId="77777777" w:rsidTr="00B7734E">
        <w:tc>
          <w:tcPr>
            <w:tcW w:w="9016" w:type="dxa"/>
          </w:tcPr>
          <w:p w14:paraId="7461093F" w14:textId="6384B223" w:rsidR="00B7734E" w:rsidRPr="00615AF5" w:rsidRDefault="00706A65" w:rsidP="00B7734E">
            <w:pPr>
              <w:pStyle w:val="LFRNumberedBodyText"/>
              <w:numPr>
                <w:ilvl w:val="0"/>
                <w:numId w:val="0"/>
              </w:numPr>
            </w:pPr>
            <w:r w:rsidRPr="00706A65">
              <w:rPr>
                <w:b/>
                <w:bCs/>
              </w:rPr>
              <w:t>Authorising Officers:</w:t>
            </w:r>
            <w:r>
              <w:rPr>
                <w:b/>
                <w:bCs/>
              </w:rPr>
              <w:t xml:space="preserve"> </w:t>
            </w:r>
            <w:r w:rsidR="00615AF5" w:rsidRPr="00615AF5">
              <w:t>When considering the</w:t>
            </w:r>
            <w:r w:rsidR="00615AF5">
              <w:rPr>
                <w:b/>
                <w:bCs/>
              </w:rPr>
              <w:t xml:space="preserve"> </w:t>
            </w:r>
            <w:r w:rsidR="00615AF5">
              <w:t xml:space="preserve">Deployment of LFR, </w:t>
            </w:r>
            <w:r w:rsidR="00C44F25">
              <w:t>its use is</w:t>
            </w:r>
            <w:r w:rsidR="00615AF5">
              <w:t xml:space="preserve"> to be underpinned by an intelligence case to highlight the need to combat the relevant crime or public safety issue</w:t>
            </w:r>
            <w:r w:rsidR="00C44F25">
              <w:t xml:space="preserve"> or policing need to deploy</w:t>
            </w:r>
            <w:r w:rsidR="00615AF5">
              <w:t xml:space="preserve">.  Having identified a need, this will allow the Authorising Officer to consider the use of LFR.  Authorising Officers must decide the use of LFR is </w:t>
            </w:r>
            <w:r w:rsidR="00615AF5" w:rsidRPr="00615AF5">
              <w:rPr>
                <w:i/>
                <w:iCs/>
              </w:rPr>
              <w:t>necessary</w:t>
            </w:r>
            <w:r w:rsidR="00615AF5">
              <w:rPr>
                <w:i/>
                <w:iCs/>
              </w:rPr>
              <w:t xml:space="preserve"> </w:t>
            </w:r>
            <w:r w:rsidR="00615AF5" w:rsidRPr="00615AF5">
              <w:t>and not just desirable</w:t>
            </w:r>
            <w:r w:rsidR="00615AF5">
              <w:t xml:space="preserve"> to enable </w:t>
            </w:r>
            <w:r w:rsidR="00AB31C2">
              <w:t>HIOWC</w:t>
            </w:r>
            <w:r w:rsidR="00615AF5">
              <w:t xml:space="preserve"> to achieve its legitimate aim</w:t>
            </w:r>
            <w:r w:rsidR="00AA181B">
              <w:t>, and may have regard to alternative approaches which have been tried but failed or which would not be successful</w:t>
            </w:r>
            <w:r w:rsidR="00615AF5">
              <w:t xml:space="preserve">.  In </w:t>
            </w:r>
            <w:r w:rsidR="00AB31C2">
              <w:t xml:space="preserve">determining </w:t>
            </w:r>
            <w:r w:rsidR="00615AF5">
              <w:t>the use of LFR to be necessary, the issue</w:t>
            </w:r>
            <w:r w:rsidR="0095445D">
              <w:t xml:space="preserve"> </w:t>
            </w:r>
            <w:r w:rsidR="00C44F25">
              <w:t>which LFR</w:t>
            </w:r>
            <w:r w:rsidR="0095445D">
              <w:t xml:space="preserve"> was intending to address and how LFR would be deployed to address that problem</w:t>
            </w:r>
            <w:r w:rsidR="00AB31C2">
              <w:t xml:space="preserve"> should be articulated. </w:t>
            </w:r>
          </w:p>
        </w:tc>
      </w:tr>
    </w:tbl>
    <w:p w14:paraId="69E8C408" w14:textId="32C68579" w:rsidR="00B7734E" w:rsidRDefault="00B7734E" w:rsidP="00935C24">
      <w:pPr>
        <w:pStyle w:val="LFRNumberedBodyText"/>
        <w:numPr>
          <w:ilvl w:val="0"/>
          <w:numId w:val="0"/>
        </w:numPr>
      </w:pPr>
    </w:p>
    <w:p w14:paraId="04FB4D8D" w14:textId="66E94170" w:rsidR="003E35BC" w:rsidRDefault="003E35BC" w:rsidP="00B7734E">
      <w:pPr>
        <w:pStyle w:val="LFRNumberedBodyText"/>
        <w:numPr>
          <w:ilvl w:val="0"/>
          <w:numId w:val="0"/>
        </w:numPr>
        <w:ind w:left="576"/>
      </w:pPr>
      <w:r>
        <w:t xml:space="preserve">The following </w:t>
      </w:r>
      <w:r w:rsidR="004E382B">
        <w:t>is an</w:t>
      </w:r>
      <w:r>
        <w:t xml:space="preserve"> example of why LFR may be used as a necessary tool to assist </w:t>
      </w:r>
      <w:r w:rsidR="00924548">
        <w:t>HIOWC</w:t>
      </w:r>
      <w:r>
        <w:t xml:space="preserve"> in preventing crime and disorder</w:t>
      </w:r>
      <w:r w:rsidR="00E342D5">
        <w:t xml:space="preserve"> and apprehending and prosecuting offenders</w:t>
      </w:r>
      <w:r>
        <w:t>.  The examples are illustrative only and there will be other scenarios where the use of LFR is justified</w:t>
      </w:r>
      <w:r w:rsidR="0092397C">
        <w:t>.</w:t>
      </w:r>
    </w:p>
    <w:tbl>
      <w:tblPr>
        <w:tblStyle w:val="TableGrid"/>
        <w:tblW w:w="0" w:type="auto"/>
        <w:tblInd w:w="576" w:type="dxa"/>
        <w:tblLook w:val="04A0" w:firstRow="1" w:lastRow="0" w:firstColumn="1" w:lastColumn="0" w:noHBand="0" w:noVBand="1"/>
      </w:tblPr>
      <w:tblGrid>
        <w:gridCol w:w="8440"/>
      </w:tblGrid>
      <w:tr w:rsidR="00DB5036" w14:paraId="24B8CBAF" w14:textId="77777777" w:rsidTr="1C5982AD">
        <w:tc>
          <w:tcPr>
            <w:tcW w:w="9016" w:type="dxa"/>
          </w:tcPr>
          <w:p w14:paraId="037B1A9E" w14:textId="41A4ECBD" w:rsidR="0092397C" w:rsidRDefault="004E382B" w:rsidP="323A4EF9">
            <w:pPr>
              <w:pStyle w:val="LFRNumberedBodyText"/>
              <w:numPr>
                <w:ilvl w:val="0"/>
                <w:numId w:val="0"/>
              </w:numPr>
              <w:rPr>
                <w:highlight w:val="cyan"/>
              </w:rPr>
            </w:pPr>
            <w:r w:rsidRPr="1C5982AD">
              <w:rPr>
                <w:b/>
                <w:bCs/>
              </w:rPr>
              <w:t>Violence</w:t>
            </w:r>
            <w:r w:rsidR="3DC375B0">
              <w:t>:</w:t>
            </w:r>
            <w:r w:rsidR="0C9E8FC2">
              <w:t xml:space="preserve">  The use of LFR will assist </w:t>
            </w:r>
            <w:r w:rsidR="00E342D5">
              <w:t>HIOWC</w:t>
            </w:r>
            <w:r w:rsidR="0C9E8FC2">
              <w:t xml:space="preserve"> in </w:t>
            </w:r>
            <w:r w:rsidR="00E342D5">
              <w:t>managing the risk of harm to the public</w:t>
            </w:r>
            <w:r w:rsidR="00EE1AF8">
              <w:t xml:space="preserve"> by </w:t>
            </w:r>
            <w:r w:rsidR="00B702E4">
              <w:t>using LFR to support the location of</w:t>
            </w:r>
            <w:r w:rsidR="00EE1AF8">
              <w:t xml:space="preserve"> </w:t>
            </w:r>
            <w:r w:rsidR="00EE1AF8" w:rsidRPr="00AE55D0">
              <w:t xml:space="preserve">individuals wanted on suspicion of the commission of violent offences </w:t>
            </w:r>
            <w:r w:rsidR="00B702E4" w:rsidRPr="00AE55D0">
              <w:t xml:space="preserve">by </w:t>
            </w:r>
            <w:r w:rsidR="00EF3746" w:rsidRPr="00AE55D0">
              <w:t>using evidence</w:t>
            </w:r>
            <w:r w:rsidR="00E7311D" w:rsidRPr="00AE55D0">
              <w:t>-</w:t>
            </w:r>
            <w:r w:rsidR="00EF3746" w:rsidRPr="00AE55D0">
              <w:t>based deployments o</w:t>
            </w:r>
            <w:r w:rsidR="00DA1E86" w:rsidRPr="00AE55D0">
              <w:t xml:space="preserve">f LFR in </w:t>
            </w:r>
            <w:r w:rsidR="00E002D8" w:rsidRPr="00AE55D0">
              <w:t>high-risk</w:t>
            </w:r>
            <w:r w:rsidR="00EF3746" w:rsidRPr="00AE55D0">
              <w:t xml:space="preserve"> areas where alternative </w:t>
            </w:r>
            <w:r w:rsidR="00EF22E8" w:rsidRPr="00AE55D0">
              <w:t>disruptions have failed</w:t>
            </w:r>
            <w:r w:rsidR="00EF3746" w:rsidRPr="00AE55D0">
              <w:t xml:space="preserve"> and where wanted</w:t>
            </w:r>
            <w:r w:rsidR="00EF3746">
              <w:t xml:space="preserve"> individuals are likely to attend. </w:t>
            </w:r>
            <w:r w:rsidR="00E342D5">
              <w:t xml:space="preserve"> </w:t>
            </w:r>
            <w:r w:rsidR="0559A39D">
              <w:t>The arrest of these outstanding suspects</w:t>
            </w:r>
            <w:r w:rsidR="00EF22E8">
              <w:t>,</w:t>
            </w:r>
            <w:r w:rsidR="0559A39D">
              <w:t xml:space="preserve"> along with </w:t>
            </w:r>
            <w:r w:rsidR="21BAD39E">
              <w:t>the deterrent effect of LFR deployments</w:t>
            </w:r>
            <w:r w:rsidR="00EF22E8">
              <w:t>,</w:t>
            </w:r>
            <w:r w:rsidR="21BAD39E">
              <w:t xml:space="preserve"> </w:t>
            </w:r>
            <w:r w:rsidR="0559A39D">
              <w:t xml:space="preserve">would reduce the </w:t>
            </w:r>
            <w:r w:rsidR="00EF22E8">
              <w:t xml:space="preserve">chance </w:t>
            </w:r>
            <w:r w:rsidR="0559A39D">
              <w:t xml:space="preserve">of disorder </w:t>
            </w:r>
            <w:r w:rsidR="21BAD39E">
              <w:t>occurring within that locality</w:t>
            </w:r>
            <w:r w:rsidR="00E7311D">
              <w:t>, improving public safety and enhancing public confidence</w:t>
            </w:r>
            <w:r w:rsidR="21BAD39E">
              <w:t>.</w:t>
            </w:r>
          </w:p>
        </w:tc>
      </w:tr>
    </w:tbl>
    <w:p w14:paraId="6FD9E85E" w14:textId="59701EE9" w:rsidR="30C4AA8A" w:rsidRDefault="30C4AA8A" w:rsidP="30C4AA8A">
      <w:pPr>
        <w:pStyle w:val="ListParagraph"/>
        <w:ind w:left="576"/>
      </w:pPr>
    </w:p>
    <w:p w14:paraId="1501DB38" w14:textId="1BAB09CB" w:rsidR="0003604B" w:rsidRDefault="39E13ADA" w:rsidP="30C4AA8A">
      <w:pPr>
        <w:pStyle w:val="ListParagraph"/>
        <w:ind w:left="576"/>
      </w:pPr>
      <w:r>
        <w:t xml:space="preserve">Additionally, in a climate where police forces need to operate efficiently, </w:t>
      </w:r>
      <w:r w:rsidR="520AA7C5">
        <w:t>HIOWC</w:t>
      </w:r>
      <w:r>
        <w:t xml:space="preserve"> has also identified that technology such as LFR can assist with the challenges of quickly and cost efficiently locating those with outstanding warrants or who have otherwise breached </w:t>
      </w:r>
      <w:r w:rsidR="3FC7AFD7">
        <w:t>court or police</w:t>
      </w:r>
      <w:r w:rsidR="31432A42">
        <w:t xml:space="preserve"> </w:t>
      </w:r>
      <w:r w:rsidR="3FC7AFD7">
        <w:t>i</w:t>
      </w:r>
      <w:r w:rsidR="30FB64CC">
        <w:t>m</w:t>
      </w:r>
      <w:r w:rsidR="3FC7AFD7">
        <w:t>posed</w:t>
      </w:r>
      <w:r w:rsidR="30FB64CC">
        <w:t xml:space="preserve"> order / </w:t>
      </w:r>
      <w:r>
        <w:t xml:space="preserve">conditions. It is right and appropriate to bring those who are unlawfully at large to justice noting the need to protect the public in such circumstances. The High Court </w:t>
      </w:r>
      <w:r w:rsidRPr="21D6228F">
        <w:rPr>
          <w:i/>
          <w:iCs/>
        </w:rPr>
        <w:t>Bridges</w:t>
      </w:r>
      <w:r>
        <w:t xml:space="preserve"> case supports that there is a “considerable additional benefit to the public </w:t>
      </w:r>
      <w:r>
        <w:lastRenderedPageBreak/>
        <w:t xml:space="preserve">interest to including those wanted on a warrant” for a </w:t>
      </w:r>
      <w:r w:rsidR="583BF739">
        <w:t>d</w:t>
      </w:r>
      <w:r>
        <w:t xml:space="preserve">eployment of LFR, even when there is no specific intelligence to place them in the area of the </w:t>
      </w:r>
      <w:r w:rsidR="583BF739">
        <w:t>d</w:t>
      </w:r>
      <w:r>
        <w:t xml:space="preserve">eployment. The intrusion to those passing the system is no greater, but (i) the potential to protect the public from those wanted by the courts, (ii) the results from </w:t>
      </w:r>
      <w:r w:rsidR="583BF739">
        <w:t>d</w:t>
      </w:r>
      <w:r>
        <w:t xml:space="preserve">eployments where those with outstanding warrants were included and (iii) the resultant arrests justified the inclusion of those with outstanding warrants from the courts as a </w:t>
      </w:r>
      <w:r w:rsidRPr="21D6228F">
        <w:rPr>
          <w:i/>
          <w:iCs/>
        </w:rPr>
        <w:t>necessary</w:t>
      </w:r>
      <w:r w:rsidR="75A839B5" w:rsidRPr="21D6228F">
        <w:rPr>
          <w:i/>
          <w:iCs/>
        </w:rPr>
        <w:t xml:space="preserve"> and proportionate</w:t>
      </w:r>
      <w:r>
        <w:t xml:space="preserve"> action to bring offenders to justice. </w:t>
      </w:r>
    </w:p>
    <w:p w14:paraId="4695791D" w14:textId="77777777" w:rsidR="00FF5D80" w:rsidRPr="00B7734E" w:rsidRDefault="00FF5D80" w:rsidP="00FF5D80">
      <w:pPr>
        <w:pStyle w:val="ListParagraph"/>
        <w:ind w:left="576"/>
        <w:jc w:val="both"/>
      </w:pPr>
    </w:p>
    <w:p w14:paraId="3030D2B5" w14:textId="4E82411E" w:rsidR="00B7734E" w:rsidRDefault="000B7C61" w:rsidP="00B7734E">
      <w:pPr>
        <w:pStyle w:val="LFRNumberedBodyText"/>
        <w:rPr>
          <w:b/>
          <w:bCs/>
        </w:rPr>
      </w:pPr>
      <w:r w:rsidRPr="000B7C61">
        <w:rPr>
          <w:b/>
          <w:bCs/>
        </w:rPr>
        <w:t xml:space="preserve">The use of LFR is proportionate to </w:t>
      </w:r>
      <w:r w:rsidR="001A0D5B">
        <w:rPr>
          <w:b/>
          <w:bCs/>
        </w:rPr>
        <w:t xml:space="preserve">the </w:t>
      </w:r>
      <w:r w:rsidRPr="000B7C61">
        <w:rPr>
          <w:b/>
          <w:bCs/>
        </w:rPr>
        <w:t>legitimate aim being sought</w:t>
      </w:r>
    </w:p>
    <w:p w14:paraId="4E5FBFA8" w14:textId="77777777" w:rsidR="000B7C61" w:rsidRDefault="000B7C61" w:rsidP="000B7C61">
      <w:pPr>
        <w:ind w:left="426"/>
        <w:jc w:val="both"/>
      </w:pPr>
      <w:r>
        <w:t>When considering the Deployment of LFR, the benefits of using LFR for an investigation or operation should not be disproportionate or arbitrary. In this respect the Surveillance Camera Commissioner recognises that:</w:t>
      </w:r>
    </w:p>
    <w:p w14:paraId="4A487110" w14:textId="77777777" w:rsidR="000B7C61" w:rsidRDefault="000B7C61" w:rsidP="000B7C61">
      <w:pPr>
        <w:ind w:left="426"/>
        <w:jc w:val="both"/>
        <w:rPr>
          <w:i/>
        </w:rPr>
      </w:pPr>
      <w:r>
        <w:rPr>
          <w:i/>
        </w:rPr>
        <w:t xml:space="preserve">“used appropriately, current and future technology can and will provide a proportionate and effective solution where surveillance is in pursuit of a legitimate aim and meets a pressing need”. </w:t>
      </w:r>
    </w:p>
    <w:p w14:paraId="58265544" w14:textId="77777777" w:rsidR="000B7C61" w:rsidRDefault="000B7C61" w:rsidP="000B7C61">
      <w:pPr>
        <w:ind w:left="426"/>
        <w:jc w:val="both"/>
      </w:pPr>
      <w:r>
        <w:t xml:space="preserve">In this respect, the following factors (amongst others, depending on the nature of the Deployment) will guide Authorising Officers: </w:t>
      </w:r>
    </w:p>
    <w:p w14:paraId="51A20577" w14:textId="55282C55" w:rsidR="000B7C61" w:rsidRPr="000B7C61" w:rsidRDefault="000B7C61" w:rsidP="00E14901">
      <w:pPr>
        <w:pStyle w:val="ListParagraph"/>
        <w:numPr>
          <w:ilvl w:val="0"/>
          <w:numId w:val="9"/>
        </w:numPr>
        <w:jc w:val="both"/>
        <w:rPr>
          <w:i/>
        </w:rPr>
      </w:pPr>
      <w:r w:rsidRPr="000B7C61">
        <w:rPr>
          <w:i/>
        </w:rPr>
        <w:t xml:space="preserve">The use of LFR should be a reasonable use of </w:t>
      </w:r>
      <w:r w:rsidR="007249BA">
        <w:rPr>
          <w:i/>
        </w:rPr>
        <w:t>HIOWC</w:t>
      </w:r>
      <w:r w:rsidRPr="000B7C61">
        <w:rPr>
          <w:i/>
        </w:rPr>
        <w:t xml:space="preserve"> powers - it will not be proportionate if the proposed use of LFR is excessive in the overall circumstances of the investigation</w:t>
      </w:r>
      <w:r w:rsidR="00EC16ED">
        <w:rPr>
          <w:i/>
        </w:rPr>
        <w:t xml:space="preserve">, </w:t>
      </w:r>
      <w:r w:rsidRPr="000B7C61">
        <w:rPr>
          <w:i/>
        </w:rPr>
        <w:t>operation</w:t>
      </w:r>
      <w:r w:rsidR="00EC16ED">
        <w:rPr>
          <w:i/>
        </w:rPr>
        <w:t xml:space="preserve"> or wider operational strategy to tackle a policing issue.</w:t>
      </w:r>
    </w:p>
    <w:p w14:paraId="4FB8986C" w14:textId="27C1B57A" w:rsidR="000B7C61" w:rsidRDefault="000B7C61" w:rsidP="00346D0B">
      <w:pPr>
        <w:ind w:left="426"/>
        <w:jc w:val="both"/>
      </w:pPr>
      <w:r>
        <w:t xml:space="preserve">Authorising Officers will need to consider the seriousness of the </w:t>
      </w:r>
      <w:r w:rsidR="00EC16ED">
        <w:t xml:space="preserve">policing issues at hand </w:t>
      </w:r>
      <w:r>
        <w:t xml:space="preserve">and the potential benefits of using LFR and balance this with any wider impact its </w:t>
      </w:r>
      <w:r w:rsidR="006A14F3">
        <w:t>d</w:t>
      </w:r>
      <w:r>
        <w:t xml:space="preserve">eployment may have to those on a </w:t>
      </w:r>
      <w:r w:rsidR="008F734B">
        <w:t>w</w:t>
      </w:r>
      <w:r>
        <w:t xml:space="preserve">atchlist and the public at large. This will allow a decision to be made as to whether LFR is appropriate for use. Authorising Officers must give consideration to the composition of the </w:t>
      </w:r>
      <w:r w:rsidR="00537E25">
        <w:t>w</w:t>
      </w:r>
      <w:r>
        <w:t xml:space="preserve">atchlist compiled for the LFR system to match against, to ensure that it is not compiled in an excessive manner. The </w:t>
      </w:r>
      <w:r w:rsidR="00537E25">
        <w:t>w</w:t>
      </w:r>
      <w:r>
        <w:t xml:space="preserve">atchlist needs to satisfy the necessity and proportionality test and will therefore be driven by the intelligence case and bespoke for each </w:t>
      </w:r>
      <w:r w:rsidR="00537E25">
        <w:t>d</w:t>
      </w:r>
      <w:r>
        <w:t xml:space="preserve">eployment of LFR to ensure it meets the aims of </w:t>
      </w:r>
      <w:r w:rsidR="00217720">
        <w:t xml:space="preserve">each </w:t>
      </w:r>
      <w:r w:rsidR="00537E25">
        <w:t>d</w:t>
      </w:r>
      <w:r>
        <w:t xml:space="preserve">eployment.   </w:t>
      </w:r>
    </w:p>
    <w:p w14:paraId="77BC3A2D" w14:textId="2028A29A" w:rsidR="000B7C61" w:rsidRDefault="000B7C61" w:rsidP="00346D0B">
      <w:pPr>
        <w:ind w:left="426"/>
        <w:jc w:val="both"/>
        <w:rPr>
          <w:highlight w:val="green"/>
        </w:rPr>
      </w:pPr>
      <w:r>
        <w:t>With this i</w:t>
      </w:r>
      <w:r w:rsidR="0038123B">
        <w:t>n</w:t>
      </w:r>
      <w:r>
        <w:t xml:space="preserve"> mind, the </w:t>
      </w:r>
      <w:r w:rsidR="00537E25">
        <w:t>w</w:t>
      </w:r>
      <w:r>
        <w:t xml:space="preserve">atchlist compiled for each </w:t>
      </w:r>
      <w:r w:rsidR="00537E25">
        <w:t>d</w:t>
      </w:r>
      <w:r>
        <w:t xml:space="preserve">eployment of LFR should be </w:t>
      </w:r>
      <w:r w:rsidR="00217720">
        <w:t xml:space="preserve">current; </w:t>
      </w:r>
      <w:r>
        <w:t xml:space="preserve">based on those currently of interest to </w:t>
      </w:r>
      <w:r w:rsidR="007249BA">
        <w:t>HIOWC</w:t>
      </w:r>
      <w:r>
        <w:t xml:space="preserve"> and/or wider UK law enforcement to mitigate the risk of the LFR system matching with those no longer of interest to </w:t>
      </w:r>
      <w:r w:rsidR="007249BA">
        <w:t>HIOWC</w:t>
      </w:r>
      <w:r>
        <w:t xml:space="preserve"> and/or wider UK law enforcement. </w:t>
      </w:r>
    </w:p>
    <w:p w14:paraId="0B10D37A" w14:textId="77777777" w:rsidR="000B7C61" w:rsidRPr="000B7C61" w:rsidRDefault="000B7C61" w:rsidP="00E14901">
      <w:pPr>
        <w:pStyle w:val="ListParagraph"/>
        <w:numPr>
          <w:ilvl w:val="0"/>
          <w:numId w:val="9"/>
        </w:numPr>
        <w:jc w:val="both"/>
        <w:rPr>
          <w:i/>
        </w:rPr>
      </w:pPr>
      <w:r w:rsidRPr="000B7C61">
        <w:rPr>
          <w:i/>
        </w:rPr>
        <w:t>Consideration should be gives as to the extent of any proposed interference with privacy against what is sought to be achieved and if there are other viable methods to achieve the aim which involve a lower level of interference.</w:t>
      </w:r>
    </w:p>
    <w:p w14:paraId="1F8D9E01" w14:textId="35D5FAB3" w:rsidR="000B7C61" w:rsidRDefault="000B7C61" w:rsidP="00346D0B">
      <w:pPr>
        <w:ind w:left="426"/>
        <w:jc w:val="both"/>
      </w:pPr>
      <w:r>
        <w:t xml:space="preserve">The use of LFR should be considered against other methods of locating persons of interest to </w:t>
      </w:r>
      <w:r w:rsidR="0038123B">
        <w:t>HIOWC</w:t>
      </w:r>
      <w:r>
        <w:t xml:space="preserve"> and/or UK Law Enforcement</w:t>
      </w:r>
      <w:r w:rsidR="0065649E">
        <w:t xml:space="preserve"> and other policing tactics which may help tackle the policing issue at hand</w:t>
      </w:r>
      <w:r>
        <w:t xml:space="preserve">. Consideration should be given as to the effectiveness and intrusiveness of other viable methods that could give the same result, with the least intrusive, viable method being adopted to progress an investigation or </w:t>
      </w:r>
      <w:r w:rsidR="00537E25">
        <w:t>d</w:t>
      </w:r>
      <w:r>
        <w:t xml:space="preserve">eployment. </w:t>
      </w:r>
    </w:p>
    <w:tbl>
      <w:tblPr>
        <w:tblStyle w:val="TableGrid"/>
        <w:tblW w:w="0" w:type="auto"/>
        <w:tblInd w:w="576" w:type="dxa"/>
        <w:tblLook w:val="04A0" w:firstRow="1" w:lastRow="0" w:firstColumn="1" w:lastColumn="0" w:noHBand="0" w:noVBand="1"/>
      </w:tblPr>
      <w:tblGrid>
        <w:gridCol w:w="8440"/>
      </w:tblGrid>
      <w:tr w:rsidR="00453D38" w14:paraId="03E44393" w14:textId="77777777" w:rsidTr="323A4EF9">
        <w:tc>
          <w:tcPr>
            <w:tcW w:w="9016" w:type="dxa"/>
          </w:tcPr>
          <w:p w14:paraId="6ADF96E5" w14:textId="50BE61EF" w:rsidR="00453D38" w:rsidRDefault="43D8B110" w:rsidP="00453D38">
            <w:r w:rsidRPr="323A4EF9">
              <w:rPr>
                <w:b/>
                <w:bCs/>
              </w:rPr>
              <w:t>Example</w:t>
            </w:r>
            <w:r>
              <w:t xml:space="preserve">: Circulating a wanted image </w:t>
            </w:r>
            <w:r w:rsidR="1750975F">
              <w:t>in the med</w:t>
            </w:r>
            <w:r w:rsidR="0E1AACEB">
              <w:t>i</w:t>
            </w:r>
            <w:r w:rsidR="1750975F">
              <w:t>a</w:t>
            </w:r>
            <w:r>
              <w:t xml:space="preserve"> may be considered as an alternative to the use of LFR. </w:t>
            </w:r>
          </w:p>
          <w:p w14:paraId="1EACCDAC" w14:textId="1FE19061" w:rsidR="00453D38" w:rsidRDefault="00453D38" w:rsidP="00453D38">
            <w:r>
              <w:t xml:space="preserve">The use of LFR can be targeted to a specific area and does not result in the public being made aware of the identity of a person being sought by </w:t>
            </w:r>
            <w:r w:rsidR="0038123B">
              <w:t>HIOWC</w:t>
            </w:r>
            <w:r>
              <w:t xml:space="preserve">. It can also be used for a </w:t>
            </w:r>
            <w:r>
              <w:lastRenderedPageBreak/>
              <w:t xml:space="preserve">limited period, </w:t>
            </w:r>
            <w:r w:rsidR="0038123B">
              <w:t xml:space="preserve">and </w:t>
            </w:r>
            <w:r>
              <w:t xml:space="preserve">targeted, based on wider intelligence, to times and places when it might be most expected to locate an individual. </w:t>
            </w:r>
            <w:r w:rsidR="00D23FBE">
              <w:t xml:space="preserve">LFR may, however, have a limited impact on multiple individuals who pass through the zone of recognition. </w:t>
            </w:r>
          </w:p>
          <w:p w14:paraId="665B0A56" w14:textId="2F47B39B" w:rsidR="00453D38" w:rsidRDefault="00453D38" w:rsidP="00453D38">
            <w:r>
              <w:t xml:space="preserve">By comparison, media </w:t>
            </w:r>
            <w:r w:rsidR="00273D24">
              <w:t xml:space="preserve">publication </w:t>
            </w:r>
            <w:r>
              <w:t xml:space="preserve">results in a person’s image being put into the public domain in a less targeted way. Once </w:t>
            </w:r>
            <w:r w:rsidR="005800AA">
              <w:t>released</w:t>
            </w:r>
            <w:r>
              <w:t xml:space="preserve">, the image is public and </w:t>
            </w:r>
            <w:r w:rsidR="00273D24">
              <w:t>HIOWC</w:t>
            </w:r>
            <w:r>
              <w:t xml:space="preserve"> no longer has control of that image. It therefore has potential to remain online even when the person has been traced and thus is a greater intrusion into the privacy of the individual being sought</w:t>
            </w:r>
            <w:r w:rsidR="00273D24">
              <w:t xml:space="preserve">, but this limits the impact on the wider public. </w:t>
            </w:r>
          </w:p>
          <w:p w14:paraId="06158D8E" w14:textId="4D205D1C" w:rsidR="00453D38" w:rsidRDefault="00453D38" w:rsidP="00453D38">
            <w:pPr>
              <w:pStyle w:val="LFRNumberedBodyText"/>
              <w:numPr>
                <w:ilvl w:val="0"/>
                <w:numId w:val="0"/>
              </w:numPr>
              <w:rPr>
                <w:b/>
                <w:bCs/>
              </w:rPr>
            </w:pPr>
            <w:r>
              <w:t xml:space="preserve">The Authorising Officer considering the use of LFR should balance any intrusion into privacy against the need for the investigative activity. If the Authorising Officer uses LFR in a way which minimises any impact it may have on </w:t>
            </w:r>
            <w:r w:rsidR="00D4589A">
              <w:t xml:space="preserve">the </w:t>
            </w:r>
            <w:r>
              <w:t xml:space="preserve">privacy </w:t>
            </w:r>
            <w:r w:rsidR="00D4589A">
              <w:t xml:space="preserve">and other rights of affected individuals </w:t>
            </w:r>
            <w:r>
              <w:t>as far as possible, it may offer a more appropriate, less intrusive alternative to</w:t>
            </w:r>
            <w:r w:rsidR="00D4589A">
              <w:t xml:space="preserve"> media circulation. </w:t>
            </w:r>
          </w:p>
        </w:tc>
      </w:tr>
    </w:tbl>
    <w:p w14:paraId="4D62AC55" w14:textId="3633D610" w:rsidR="000B7C61" w:rsidRDefault="000B7C61" w:rsidP="000B7C61">
      <w:pPr>
        <w:pStyle w:val="LFRNumberedBodyText"/>
        <w:numPr>
          <w:ilvl w:val="0"/>
          <w:numId w:val="0"/>
        </w:numPr>
        <w:ind w:left="576"/>
        <w:rPr>
          <w:b/>
          <w:bCs/>
        </w:rPr>
      </w:pPr>
    </w:p>
    <w:tbl>
      <w:tblPr>
        <w:tblStyle w:val="TableGrid"/>
        <w:tblW w:w="0" w:type="auto"/>
        <w:tblInd w:w="576" w:type="dxa"/>
        <w:tblLook w:val="04A0" w:firstRow="1" w:lastRow="0" w:firstColumn="1" w:lastColumn="0" w:noHBand="0" w:noVBand="1"/>
      </w:tblPr>
      <w:tblGrid>
        <w:gridCol w:w="8440"/>
      </w:tblGrid>
      <w:tr w:rsidR="006209A3" w14:paraId="334D3E4F" w14:textId="77777777" w:rsidTr="323A4EF9">
        <w:tc>
          <w:tcPr>
            <w:tcW w:w="9016" w:type="dxa"/>
          </w:tcPr>
          <w:p w14:paraId="6B68ECB1" w14:textId="544AD4CA" w:rsidR="006209A3" w:rsidRPr="006209A3" w:rsidRDefault="006209A3" w:rsidP="007249BA">
            <w:pPr>
              <w:jc w:val="both"/>
              <w:rPr>
                <w:highlight w:val="cyan"/>
              </w:rPr>
            </w:pPr>
            <w:r w:rsidRPr="00CF7176">
              <w:rPr>
                <w:b/>
                <w:bCs/>
              </w:rPr>
              <w:t>Authorising Officers</w:t>
            </w:r>
            <w:r w:rsidRPr="00CF7176">
              <w:t xml:space="preserve">: When taking a decision to deploy LFR, Authorising Officers should record what other methods, as appropriate, were either not implemented or have been employed but which were assessed to be insufficient or inappropriate to fulfil </w:t>
            </w:r>
            <w:r w:rsidR="007249BA">
              <w:t>HIOWC</w:t>
            </w:r>
            <w:r w:rsidR="7EE29EF2" w:rsidRPr="00CF7176">
              <w:t>’s</w:t>
            </w:r>
            <w:r w:rsidRPr="00CF7176">
              <w:t xml:space="preserve"> aim.</w:t>
            </w:r>
          </w:p>
        </w:tc>
      </w:tr>
    </w:tbl>
    <w:p w14:paraId="7DA80537" w14:textId="3383CC79" w:rsidR="000813AC" w:rsidRDefault="000813AC" w:rsidP="000B7C61">
      <w:pPr>
        <w:pStyle w:val="LFRNumberedBodyText"/>
        <w:numPr>
          <w:ilvl w:val="0"/>
          <w:numId w:val="0"/>
        </w:numPr>
        <w:ind w:left="576"/>
        <w:rPr>
          <w:b/>
          <w:bCs/>
        </w:rPr>
      </w:pPr>
    </w:p>
    <w:p w14:paraId="039BEEAB" w14:textId="5E4CF61A" w:rsidR="00F06BC1" w:rsidRPr="000B7C61" w:rsidRDefault="00F06BC1" w:rsidP="006D2491">
      <w:pPr>
        <w:pStyle w:val="ListParagraph"/>
        <w:numPr>
          <w:ilvl w:val="0"/>
          <w:numId w:val="9"/>
        </w:numPr>
        <w:jc w:val="both"/>
        <w:rPr>
          <w:i/>
        </w:rPr>
      </w:pPr>
      <w:r>
        <w:rPr>
          <w:i/>
        </w:rPr>
        <w:t>How and why the methods adopted will cause the least possible interference to the person(s) sought and others must be addressed.</w:t>
      </w:r>
    </w:p>
    <w:p w14:paraId="658CBB20" w14:textId="2EFB83A5" w:rsidR="00F06BC1" w:rsidRDefault="00F06BC1" w:rsidP="00F06BC1">
      <w:pPr>
        <w:spacing w:after="0"/>
        <w:ind w:left="809"/>
        <w:jc w:val="both"/>
      </w:pPr>
      <w:bookmarkStart w:id="28" w:name="_Hlk133445197"/>
      <w:r>
        <w:t>All uses of LFR under this Legal Mandate will be overt. LFR will be used for a limited time –with a limited footprint, with a defined purpose</w:t>
      </w:r>
      <w:r w:rsidR="0DD3961C">
        <w:t xml:space="preserve"> </w:t>
      </w:r>
      <w:r>
        <w:t xml:space="preserve">(controlled by way of </w:t>
      </w:r>
      <w:r w:rsidR="007E7DA0">
        <w:t>HIOWC</w:t>
      </w:r>
      <w:r>
        <w:t xml:space="preserve"> LFR </w:t>
      </w:r>
      <w:r w:rsidR="007E7DA0">
        <w:t>Legal Framework</w:t>
      </w:r>
      <w:r>
        <w:t xml:space="preserve">). The LFR system will be visibly deployed in an open and transparent way. Consistent with the principle of engaging with the public, </w:t>
      </w:r>
      <w:r w:rsidR="007E7DA0">
        <w:t>HIOWC</w:t>
      </w:r>
      <w:r>
        <w:t xml:space="preserve"> LFR </w:t>
      </w:r>
      <w:r w:rsidR="007E7DA0">
        <w:t xml:space="preserve">Legal Framework </w:t>
      </w:r>
      <w:r>
        <w:t>also provides a structure for awareness measures which respond to the nature and objectives of the use of LFR</w:t>
      </w:r>
      <w:r w:rsidR="00B202E1">
        <w:t xml:space="preserve">. </w:t>
      </w:r>
    </w:p>
    <w:bookmarkEnd w:id="28"/>
    <w:p w14:paraId="75572C26" w14:textId="77777777" w:rsidR="00F06BC1" w:rsidRDefault="00F06BC1">
      <w:pPr>
        <w:pStyle w:val="LFRNumberedBodyText"/>
        <w:numPr>
          <w:ilvl w:val="0"/>
          <w:numId w:val="0"/>
        </w:numPr>
        <w:rPr>
          <w:b/>
          <w:bCs/>
        </w:rPr>
      </w:pPr>
    </w:p>
    <w:p w14:paraId="3C1750AD" w14:textId="3A354FDD" w:rsidR="006209A3" w:rsidRDefault="006209A3" w:rsidP="006209A3">
      <w:pPr>
        <w:spacing w:after="0"/>
        <w:ind w:left="809"/>
        <w:jc w:val="both"/>
      </w:pPr>
      <w:r w:rsidRPr="323A4EF9">
        <w:rPr>
          <w:b/>
          <w:bCs/>
        </w:rPr>
        <w:t xml:space="preserve">Proportionality controls. </w:t>
      </w:r>
      <w:r>
        <w:t>Controls are also designed into the LFR system and its operation to help minimise any impact on the public and those place</w:t>
      </w:r>
      <w:r w:rsidR="00BE6E37">
        <w:t>d</w:t>
      </w:r>
      <w:r>
        <w:t xml:space="preserve"> on a Watchlist as follows:</w:t>
      </w:r>
    </w:p>
    <w:p w14:paraId="657ECC32" w14:textId="1DE947C1" w:rsidR="006209A3" w:rsidRDefault="006209A3" w:rsidP="00E14901">
      <w:pPr>
        <w:pStyle w:val="ListParagraph"/>
        <w:numPr>
          <w:ilvl w:val="0"/>
          <w:numId w:val="10"/>
        </w:numPr>
        <w:jc w:val="both"/>
      </w:pPr>
      <w:r>
        <w:t xml:space="preserve">LFR cannot be used to locate persons unless they have been included on a </w:t>
      </w:r>
      <w:r w:rsidR="00537E25">
        <w:t>w</w:t>
      </w:r>
      <w:r>
        <w:t xml:space="preserve">atchlist. </w:t>
      </w:r>
    </w:p>
    <w:p w14:paraId="4C6C81B7" w14:textId="005C510C" w:rsidR="006209A3" w:rsidRDefault="006209A3" w:rsidP="00E14901">
      <w:pPr>
        <w:pStyle w:val="ListParagraph"/>
        <w:numPr>
          <w:ilvl w:val="0"/>
          <w:numId w:val="10"/>
        </w:numPr>
        <w:jc w:val="both"/>
      </w:pPr>
      <w:r>
        <w:t xml:space="preserve">The creation of any </w:t>
      </w:r>
      <w:r w:rsidR="00537E25">
        <w:t>w</w:t>
      </w:r>
      <w:r>
        <w:t xml:space="preserve">atchlist is specific to </w:t>
      </w:r>
      <w:r w:rsidR="00C6587F">
        <w:t xml:space="preserve">the </w:t>
      </w:r>
      <w:r w:rsidR="00537E25">
        <w:t>d</w:t>
      </w:r>
      <w:r>
        <w:t>eployment of LFR</w:t>
      </w:r>
      <w:r w:rsidR="00257D95">
        <w:t>,</w:t>
      </w:r>
      <w:r>
        <w:t xml:space="preserve"> informed by the intelligence case for </w:t>
      </w:r>
      <w:r w:rsidR="00C6587F">
        <w:t xml:space="preserve">the </w:t>
      </w:r>
      <w:r w:rsidR="00537E25">
        <w:t>d</w:t>
      </w:r>
      <w:r>
        <w:t>eployment</w:t>
      </w:r>
      <w:r w:rsidR="00257D95">
        <w:t xml:space="preserve"> and finalised no sooner than 24 hours prior to the </w:t>
      </w:r>
      <w:r w:rsidR="00537E25">
        <w:t>d</w:t>
      </w:r>
      <w:r w:rsidR="00257D95">
        <w:t>eployment</w:t>
      </w:r>
      <w:r>
        <w:t xml:space="preserve">; this is to ensure the currency, relevancy, necessity and proportionality by which any image is included for potential matching. </w:t>
      </w:r>
    </w:p>
    <w:p w14:paraId="79B9245E" w14:textId="6CCA7CE8" w:rsidR="006209A3" w:rsidRDefault="006209A3" w:rsidP="00E14901">
      <w:pPr>
        <w:pStyle w:val="ListParagraph"/>
        <w:numPr>
          <w:ilvl w:val="0"/>
          <w:numId w:val="10"/>
        </w:numPr>
        <w:jc w:val="both"/>
      </w:pPr>
      <w:r>
        <w:t xml:space="preserve">Images on a </w:t>
      </w:r>
      <w:r w:rsidR="00537E25">
        <w:t>w</w:t>
      </w:r>
      <w:r>
        <w:t xml:space="preserve">atchlist will be lawfully held by </w:t>
      </w:r>
      <w:r w:rsidR="006328A9">
        <w:t>HIOWC</w:t>
      </w:r>
      <w:r>
        <w:t xml:space="preserve"> </w:t>
      </w:r>
      <w:r w:rsidRPr="1F9AA7E2">
        <w:rPr>
          <w:rFonts w:cs="Calibri"/>
        </w:rPr>
        <w:t>with all reasonable steps being taken to ensure that the image is of a person intended for inclusion on a given Watchlist</w:t>
      </w:r>
      <w:r>
        <w:t xml:space="preserve">. </w:t>
      </w:r>
    </w:p>
    <w:p w14:paraId="4EB510A6" w14:textId="42EE93BA" w:rsidR="006209A3" w:rsidRPr="00CF7176" w:rsidRDefault="006209A3" w:rsidP="00CF7176">
      <w:pPr>
        <w:pStyle w:val="ListParagraph"/>
        <w:numPr>
          <w:ilvl w:val="0"/>
          <w:numId w:val="10"/>
        </w:numPr>
        <w:rPr>
          <w:color w:val="000000" w:themeColor="text1"/>
        </w:rPr>
      </w:pPr>
      <w:r>
        <w:t xml:space="preserve">Authorising Officers need to expressly consider and approve the use of non-police originated images on any </w:t>
      </w:r>
      <w:r w:rsidR="00537E25">
        <w:t>w</w:t>
      </w:r>
      <w:r>
        <w:t>atchlist. This is because particular privacy considerations may attach to an image where it originates from outside of a policing context. For example, it may be that the image was not placed in the public domain, was taken in a place that attracts a higher expectation of privacy or is an image that was supplied to, or taken by</w:t>
      </w:r>
      <w:r w:rsidR="006328A9">
        <w:t>,</w:t>
      </w:r>
      <w:r>
        <w:t xml:space="preserve"> a third party for a specific purpose that does not usually see routine data sharing with the police. Even when </w:t>
      </w:r>
      <w:r w:rsidR="006328A9">
        <w:t>HIOWC</w:t>
      </w:r>
      <w:r>
        <w:t xml:space="preserve"> can </w:t>
      </w:r>
      <w:r>
        <w:lastRenderedPageBreak/>
        <w:t xml:space="preserve">lawfully hold the images, the need for the </w:t>
      </w:r>
      <w:r w:rsidR="00537E25">
        <w:t>w</w:t>
      </w:r>
      <w:r>
        <w:t xml:space="preserve">atchlist to be a proportionate policing response requires the Authorising Officer to undertake a careful assessment of an individual’s privacy expectations against the policing need to locate them using LFR. </w:t>
      </w:r>
      <w:r w:rsidRPr="03B14CEB">
        <w:rPr>
          <w:color w:val="000000" w:themeColor="text1"/>
        </w:rPr>
        <w:t xml:space="preserve">The </w:t>
      </w:r>
      <w:r w:rsidR="00023ECF" w:rsidRPr="03B14CEB">
        <w:rPr>
          <w:color w:val="000000" w:themeColor="text1"/>
        </w:rPr>
        <w:t>HIOWC</w:t>
      </w:r>
      <w:r w:rsidRPr="03B14CEB">
        <w:rPr>
          <w:color w:val="000000" w:themeColor="text1"/>
        </w:rPr>
        <w:t xml:space="preserve"> LFR SOP outlines considerations for Authorising Officers at Section 6</w:t>
      </w:r>
      <w:r w:rsidR="00DB4D9E" w:rsidRPr="03B14CEB">
        <w:rPr>
          <w:color w:val="000000" w:themeColor="text1"/>
        </w:rPr>
        <w:t xml:space="preserve"> ‘‘Who’ - Watchlist Generation and Criteria for an Image’s Inclusion on a Watchlist’</w:t>
      </w:r>
      <w:r w:rsidRPr="03B14CEB">
        <w:rPr>
          <w:color w:val="000000" w:themeColor="text1"/>
        </w:rPr>
        <w:t>.</w:t>
      </w:r>
      <w:r w:rsidR="00B14499" w:rsidRPr="03B14CEB">
        <w:rPr>
          <w:color w:val="000000" w:themeColor="text1"/>
        </w:rPr>
        <w:t xml:space="preserve"> Any </w:t>
      </w:r>
      <w:r w:rsidR="003706C0" w:rsidRPr="03B14CEB">
        <w:rPr>
          <w:color w:val="000000" w:themeColor="text1"/>
        </w:rPr>
        <w:t>anticipated</w:t>
      </w:r>
      <w:r w:rsidR="00B14499" w:rsidRPr="03B14CEB">
        <w:rPr>
          <w:color w:val="000000" w:themeColor="text1"/>
        </w:rPr>
        <w:t xml:space="preserve"> use of a non-police originated image will be highlighted to the Authorising Officer in the LFR Application</w:t>
      </w:r>
      <w:r w:rsidR="00D55915" w:rsidRPr="03B14CEB">
        <w:rPr>
          <w:color w:val="000000" w:themeColor="text1"/>
        </w:rPr>
        <w:t xml:space="preserve">. </w:t>
      </w:r>
      <w:r w:rsidR="00B14499" w:rsidRPr="03B14CEB">
        <w:rPr>
          <w:color w:val="000000" w:themeColor="text1"/>
        </w:rPr>
        <w:t xml:space="preserve"> </w:t>
      </w:r>
    </w:p>
    <w:p w14:paraId="134C9CBB" w14:textId="76893241" w:rsidR="006209A3" w:rsidRDefault="006209A3" w:rsidP="00E14901">
      <w:pPr>
        <w:pStyle w:val="ListParagraph"/>
        <w:numPr>
          <w:ilvl w:val="0"/>
          <w:numId w:val="10"/>
        </w:numPr>
        <w:jc w:val="both"/>
      </w:pPr>
      <w:r>
        <w:t xml:space="preserve">On adding an image to the </w:t>
      </w:r>
      <w:r w:rsidR="00537E25">
        <w:t>w</w:t>
      </w:r>
      <w:r>
        <w:t xml:space="preserve">atchlist the LFR system will assess the image for quality and suitability for matching in order to allow </w:t>
      </w:r>
      <w:r w:rsidR="00B14499">
        <w:t>HIOWC</w:t>
      </w:r>
      <w:r>
        <w:t xml:space="preserve"> personnel to consider and manage the risk of </w:t>
      </w:r>
      <w:r w:rsidR="00252D06">
        <w:t>poor-quality</w:t>
      </w:r>
      <w:r>
        <w:t xml:space="preserve"> images generating inaccurate LFR Alerts. </w:t>
      </w:r>
    </w:p>
    <w:p w14:paraId="355F7EBE" w14:textId="1DD9FA40" w:rsidR="006209A3" w:rsidRDefault="006209A3" w:rsidP="00E14901">
      <w:pPr>
        <w:pStyle w:val="ListParagraph"/>
        <w:numPr>
          <w:ilvl w:val="0"/>
          <w:numId w:val="10"/>
        </w:numPr>
        <w:jc w:val="both"/>
      </w:pPr>
      <w:r>
        <w:t xml:space="preserve">All </w:t>
      </w:r>
      <w:r w:rsidR="00537E25">
        <w:t>w</w:t>
      </w:r>
      <w:r>
        <w:t>atchlists are deleted as soon as practicable, and in any case within</w:t>
      </w:r>
      <w:r w:rsidR="585B6ACD">
        <w:t xml:space="preserve"> 24 hours following the conclusion of the Deployment.</w:t>
      </w:r>
      <w:r>
        <w:t xml:space="preserve"> </w:t>
      </w:r>
    </w:p>
    <w:p w14:paraId="1DBBE9D0" w14:textId="306EA01C" w:rsidR="006209A3" w:rsidRDefault="006209A3" w:rsidP="00E14901">
      <w:pPr>
        <w:pStyle w:val="ListParagraph"/>
        <w:numPr>
          <w:ilvl w:val="0"/>
          <w:numId w:val="10"/>
        </w:numPr>
        <w:jc w:val="both"/>
      </w:pPr>
      <w:r>
        <w:t>The cameras used in the LFR system are of sufficient quality for the LFR system’s needs.</w:t>
      </w:r>
    </w:p>
    <w:p w14:paraId="4D0588AF" w14:textId="0DBF7224" w:rsidR="006209A3" w:rsidRDefault="006209A3" w:rsidP="00E14901">
      <w:pPr>
        <w:pStyle w:val="ListParagraph"/>
        <w:numPr>
          <w:ilvl w:val="0"/>
          <w:numId w:val="10"/>
        </w:numPr>
        <w:jc w:val="both"/>
      </w:pPr>
      <w:r>
        <w:t xml:space="preserve">The LFR system is ‘closed’ and not connected to other </w:t>
      </w:r>
      <w:r w:rsidR="00DB7BBE">
        <w:t>HIOWC</w:t>
      </w:r>
      <w:r>
        <w:t xml:space="preserve"> systems or the internet. </w:t>
      </w:r>
    </w:p>
    <w:p w14:paraId="68597D49" w14:textId="7A9B4ACC" w:rsidR="006209A3" w:rsidRDefault="006209A3" w:rsidP="00E14901">
      <w:pPr>
        <w:pStyle w:val="ListParagraph"/>
        <w:numPr>
          <w:ilvl w:val="0"/>
          <w:numId w:val="10"/>
        </w:numPr>
        <w:jc w:val="both"/>
      </w:pPr>
      <w:r>
        <w:t xml:space="preserve">The LFR system is designed to assist </w:t>
      </w:r>
      <w:r w:rsidR="00DB7BBE">
        <w:t>HIOWC</w:t>
      </w:r>
      <w:r>
        <w:t xml:space="preserve"> personnel locate people. The LFR system will always flag potential matches to at least one officer for a decision on any further action rather than autonomously taking a decision on any action after making a potential match. </w:t>
      </w:r>
    </w:p>
    <w:p w14:paraId="3F2A0C5E" w14:textId="77777777" w:rsidR="006209A3" w:rsidRDefault="006209A3" w:rsidP="00E14901">
      <w:pPr>
        <w:pStyle w:val="ListParagraph"/>
        <w:numPr>
          <w:ilvl w:val="0"/>
          <w:numId w:val="10"/>
        </w:numPr>
        <w:jc w:val="both"/>
      </w:pPr>
      <w:r>
        <w:t xml:space="preserve">LFR Deployments and the materials that support LFR Deployments will be subject to periodic review to ensure that the LFR system and its operation remains necessary, proportionate and effective in terms of meeting its use case. </w:t>
      </w:r>
    </w:p>
    <w:p w14:paraId="4B2949BD" w14:textId="5278A9B8" w:rsidR="006209A3" w:rsidRDefault="006209A3" w:rsidP="006209A3">
      <w:pPr>
        <w:spacing w:after="0"/>
        <w:ind w:left="809"/>
        <w:jc w:val="both"/>
      </w:pPr>
      <w:r>
        <w:t>Controls have also been implemented with regards to personal data retention to minimise the impact on the wider public and those on the Watchlist. The controls provide that:</w:t>
      </w:r>
    </w:p>
    <w:p w14:paraId="7A13DC18" w14:textId="77777777" w:rsidR="006D5504" w:rsidRDefault="006D5504" w:rsidP="006209A3">
      <w:pPr>
        <w:spacing w:after="0"/>
        <w:ind w:left="809"/>
        <w:jc w:val="both"/>
      </w:pPr>
    </w:p>
    <w:p w14:paraId="6E5F0397" w14:textId="58E85753" w:rsidR="00FB4ADB" w:rsidRPr="003706C0" w:rsidRDefault="00FB4ADB" w:rsidP="03B14CEB">
      <w:pPr>
        <w:pStyle w:val="LFRNumberedBodyText"/>
        <w:numPr>
          <w:ilvl w:val="0"/>
          <w:numId w:val="30"/>
        </w:numPr>
        <w:spacing w:after="0"/>
        <w:rPr>
          <w:rFonts w:eastAsiaTheme="minorEastAsia"/>
        </w:rPr>
      </w:pPr>
      <w:r w:rsidRPr="03B14CEB">
        <w:rPr>
          <w:rFonts w:eastAsiaTheme="minorEastAsia"/>
        </w:rPr>
        <w:t xml:space="preserve">where the LFR system does not generate an </w:t>
      </w:r>
      <w:r w:rsidR="00537E25" w:rsidRPr="03B14CEB">
        <w:rPr>
          <w:rFonts w:eastAsiaTheme="minorEastAsia"/>
        </w:rPr>
        <w:t>a</w:t>
      </w:r>
      <w:r w:rsidRPr="03B14CEB">
        <w:rPr>
          <w:rFonts w:eastAsiaTheme="minorEastAsia"/>
        </w:rPr>
        <w:t>lert, then</w:t>
      </w:r>
      <w:r w:rsidR="00804943" w:rsidRPr="03B14CEB">
        <w:rPr>
          <w:rFonts w:eastAsiaTheme="minorEastAsia"/>
        </w:rPr>
        <w:t xml:space="preserve"> the</w:t>
      </w:r>
      <w:r w:rsidRPr="03B14CEB">
        <w:rPr>
          <w:rFonts w:eastAsiaTheme="minorEastAsia"/>
        </w:rPr>
        <w:t xml:space="preserve"> biometric data</w:t>
      </w:r>
      <w:r w:rsidR="00804943" w:rsidRPr="03B14CEB">
        <w:rPr>
          <w:rFonts w:eastAsiaTheme="minorEastAsia"/>
        </w:rPr>
        <w:t xml:space="preserve"> drawn from the CCTV of the person passing through the zone of recognition</w:t>
      </w:r>
      <w:r w:rsidRPr="03B14CEB">
        <w:rPr>
          <w:rFonts w:eastAsiaTheme="minorEastAsia"/>
        </w:rPr>
        <w:t xml:space="preserve"> is immediately automatically deleted; </w:t>
      </w:r>
    </w:p>
    <w:p w14:paraId="4E19A0D4" w14:textId="5B2AE1BB" w:rsidR="00FB4ADB" w:rsidRPr="003706C0" w:rsidRDefault="00FB4ADB" w:rsidP="03B14CEB">
      <w:pPr>
        <w:pStyle w:val="LFRNumberedBodyText"/>
        <w:numPr>
          <w:ilvl w:val="0"/>
          <w:numId w:val="30"/>
        </w:numPr>
        <w:spacing w:after="0"/>
        <w:rPr>
          <w:rFonts w:eastAsiaTheme="minorEastAsia"/>
        </w:rPr>
      </w:pPr>
      <w:r w:rsidRPr="03B14CEB">
        <w:rPr>
          <w:rFonts w:eastAsiaTheme="minorEastAsia"/>
        </w:rPr>
        <w:t xml:space="preserve">the data held on the encrypted USB memory stick used to import a </w:t>
      </w:r>
      <w:r w:rsidR="00537E25" w:rsidRPr="03B14CEB">
        <w:rPr>
          <w:rFonts w:eastAsiaTheme="minorEastAsia"/>
        </w:rPr>
        <w:t>w</w:t>
      </w:r>
      <w:r w:rsidRPr="03B14CEB">
        <w:rPr>
          <w:rFonts w:eastAsiaTheme="minorEastAsia"/>
        </w:rPr>
        <w:t>atchlist is deleted as soon as practicable, and in any case within 24 hours following the conclusion of the Deployment</w:t>
      </w:r>
      <w:r w:rsidR="00804943" w:rsidRPr="03B14CEB">
        <w:rPr>
          <w:rFonts w:eastAsiaTheme="minorEastAsia"/>
        </w:rPr>
        <w:t>;</w:t>
      </w:r>
    </w:p>
    <w:p w14:paraId="483BD149" w14:textId="0AA3431B" w:rsidR="00FB4ADB" w:rsidRPr="003706C0" w:rsidRDefault="00FB4ADB" w:rsidP="03B14CEB">
      <w:pPr>
        <w:pStyle w:val="LFRNumberedBodyText"/>
        <w:numPr>
          <w:ilvl w:val="0"/>
          <w:numId w:val="30"/>
        </w:numPr>
        <w:spacing w:after="0"/>
        <w:rPr>
          <w:rFonts w:eastAsiaTheme="minorEastAsia"/>
        </w:rPr>
      </w:pPr>
      <w:bookmarkStart w:id="29" w:name="_Hlk74044427"/>
      <w:r w:rsidRPr="03B14CEB">
        <w:rPr>
          <w:rFonts w:eastAsiaTheme="minorEastAsia"/>
        </w:rPr>
        <w:t xml:space="preserve">watchlists are deleted as soon as practicable, and in any case within 24 hours following the conclusion of the </w:t>
      </w:r>
      <w:r w:rsidR="00537E25" w:rsidRPr="03B14CEB">
        <w:rPr>
          <w:rFonts w:eastAsiaTheme="minorEastAsia"/>
        </w:rPr>
        <w:t>d</w:t>
      </w:r>
      <w:r w:rsidRPr="03B14CEB">
        <w:rPr>
          <w:rFonts w:eastAsiaTheme="minorEastAsia"/>
        </w:rPr>
        <w:t>eployment</w:t>
      </w:r>
      <w:r w:rsidR="00804943" w:rsidRPr="03B14CEB">
        <w:rPr>
          <w:rFonts w:eastAsiaTheme="minorEastAsia"/>
        </w:rPr>
        <w:t>;</w:t>
      </w:r>
      <w:r w:rsidR="00804943" w:rsidRPr="03B14CEB">
        <w:rPr>
          <w:rFonts w:eastAsiaTheme="minorEastAsia"/>
          <w:i/>
          <w:iCs/>
        </w:rPr>
        <w:t xml:space="preserve"> and</w:t>
      </w:r>
    </w:p>
    <w:bookmarkEnd w:id="29"/>
    <w:p w14:paraId="4EC3AB7B" w14:textId="64D48A3B" w:rsidR="003706C0" w:rsidRPr="003706C0" w:rsidRDefault="00FB4ADB" w:rsidP="00C3F993">
      <w:pPr>
        <w:pStyle w:val="Boxtext3"/>
        <w:numPr>
          <w:ilvl w:val="0"/>
          <w:numId w:val="30"/>
        </w:numPr>
        <w:rPr>
          <w:rFonts w:asciiTheme="minorHAnsi" w:hAnsiTheme="minorHAnsi" w:cstheme="minorBidi"/>
        </w:rPr>
      </w:pPr>
      <w:r w:rsidRPr="00C3F993">
        <w:rPr>
          <w:rFonts w:asciiTheme="minorHAnsi" w:hAnsiTheme="minorHAnsi" w:cstheme="minorBidi"/>
        </w:rPr>
        <w:t xml:space="preserve">where the LFR system generates an </w:t>
      </w:r>
      <w:r w:rsidR="00537E25" w:rsidRPr="00C3F993">
        <w:rPr>
          <w:rFonts w:asciiTheme="minorHAnsi" w:hAnsiTheme="minorHAnsi" w:cstheme="minorBidi"/>
        </w:rPr>
        <w:t>a</w:t>
      </w:r>
      <w:r w:rsidRPr="00C3F993">
        <w:rPr>
          <w:rFonts w:asciiTheme="minorHAnsi" w:hAnsiTheme="minorHAnsi" w:cstheme="minorBidi"/>
        </w:rPr>
        <w:t>lert</w:t>
      </w:r>
      <w:r w:rsidR="003706C0" w:rsidRPr="00C3F993">
        <w:rPr>
          <w:rFonts w:asciiTheme="minorHAnsi" w:hAnsiTheme="minorHAnsi" w:cstheme="minorBidi"/>
        </w:rPr>
        <w:t xml:space="preserve"> the biometric</w:t>
      </w:r>
      <w:r w:rsidRPr="00C3F993">
        <w:rPr>
          <w:rFonts w:asciiTheme="minorHAnsi" w:hAnsiTheme="minorHAnsi" w:cstheme="minorBidi"/>
        </w:rPr>
        <w:t xml:space="preserve"> data is deleted as soon as practicable and in any case within 24 hours following the conclusion of the </w:t>
      </w:r>
      <w:r w:rsidR="00537E25" w:rsidRPr="00C3F993">
        <w:rPr>
          <w:rFonts w:asciiTheme="minorHAnsi" w:hAnsiTheme="minorHAnsi" w:cstheme="minorBidi"/>
        </w:rPr>
        <w:t>d</w:t>
      </w:r>
      <w:r w:rsidRPr="00C3F993">
        <w:rPr>
          <w:rFonts w:asciiTheme="minorHAnsi" w:hAnsiTheme="minorHAnsi" w:cstheme="minorBidi"/>
        </w:rPr>
        <w:t>eployment.</w:t>
      </w:r>
    </w:p>
    <w:p w14:paraId="3A9B7F52" w14:textId="3DB7C9C0" w:rsidR="006209A3" w:rsidRPr="003706C0" w:rsidRDefault="003706C0" w:rsidP="003706C0">
      <w:pPr>
        <w:pStyle w:val="Boxtext3"/>
        <w:numPr>
          <w:ilvl w:val="0"/>
          <w:numId w:val="30"/>
        </w:numPr>
        <w:rPr>
          <w:rFonts w:asciiTheme="minorHAnsi" w:hAnsiTheme="minorHAnsi" w:cstheme="minorBidi"/>
        </w:rPr>
      </w:pPr>
      <w:r w:rsidRPr="003706C0">
        <w:rPr>
          <w:rFonts w:asciiTheme="minorHAnsi" w:hAnsiTheme="minorHAnsi" w:cstheme="minorBidi"/>
          <w:szCs w:val="22"/>
        </w:rPr>
        <w:t>The CCTV images will be retained for 31 days and may be retained for a longer period where justified in the event of a complaint or prosecution.</w:t>
      </w:r>
    </w:p>
    <w:p w14:paraId="5292E243" w14:textId="77777777" w:rsidR="004C78D5" w:rsidRDefault="004C78D5" w:rsidP="006209A3">
      <w:pPr>
        <w:spacing w:after="0"/>
        <w:ind w:left="809"/>
        <w:jc w:val="both"/>
      </w:pPr>
    </w:p>
    <w:p w14:paraId="0CF3C15A" w14:textId="2D4DEFBC" w:rsidR="000863B8" w:rsidRDefault="000863B8" w:rsidP="000863B8">
      <w:pPr>
        <w:spacing w:after="0"/>
        <w:ind w:left="809"/>
        <w:jc w:val="both"/>
      </w:pPr>
      <w:r w:rsidRPr="00C3F993">
        <w:rPr>
          <w:b/>
          <w:bCs/>
        </w:rPr>
        <w:t xml:space="preserve">Deployment location privacy considerations. </w:t>
      </w:r>
      <w:r>
        <w:t>Deployment locations will be identified as being necessary by the intelligence case supporting the prospects of locating persons at the site</w:t>
      </w:r>
      <w:r w:rsidR="00C6587F">
        <w:t xml:space="preserve"> and/or how LFR plays a role within wider policing tactics</w:t>
      </w:r>
      <w:r>
        <w:t xml:space="preserve">. However, Authorising Officers must also consider the reasonable expectations of privacy the general public as a whole may have when traversing a public place where LFR is being considered for </w:t>
      </w:r>
      <w:r w:rsidR="002A5F5C">
        <w:t>d</w:t>
      </w:r>
      <w:r>
        <w:t>eployment. Some places, and the people expected to be at some places</w:t>
      </w:r>
      <w:r w:rsidR="00754773">
        <w:t>,</w:t>
      </w:r>
      <w:r>
        <w:t xml:space="preserve"> by their nature attract greater privacy expectations than others. Authorising Officers also need to consider what measures are appropriate to identify the use of LFR when it is deployed, particularly where expectations of </w:t>
      </w:r>
      <w:r>
        <w:lastRenderedPageBreak/>
        <w:t>privacy may be greater. This is important to establishing if the proposed use for LFR, and the Deployment location itself is proportionate.</w:t>
      </w:r>
    </w:p>
    <w:p w14:paraId="7FC50766" w14:textId="44B9C486" w:rsidR="000863B8" w:rsidRDefault="000863B8" w:rsidP="000863B8">
      <w:pPr>
        <w:spacing w:after="0"/>
        <w:ind w:left="809"/>
        <w:jc w:val="both"/>
      </w:pPr>
    </w:p>
    <w:p w14:paraId="70EABAFE" w14:textId="02860662" w:rsidR="000863B8" w:rsidRDefault="000863B8" w:rsidP="000863B8">
      <w:pPr>
        <w:spacing w:after="0"/>
        <w:ind w:left="809"/>
        <w:jc w:val="both"/>
      </w:pPr>
      <w:r>
        <w:t xml:space="preserve">Authorising Officers should also consider if a proposed </w:t>
      </w:r>
      <w:r w:rsidR="002A5F5C">
        <w:t>d</w:t>
      </w:r>
      <w:r>
        <w:t xml:space="preserve">eployment location attracts particular privacy concerns by reference to those expected to be at a particular location. </w:t>
      </w:r>
    </w:p>
    <w:p w14:paraId="2C4E689E" w14:textId="57103CF4" w:rsidR="000863B8" w:rsidRDefault="000863B8" w:rsidP="000863B8">
      <w:pPr>
        <w:spacing w:after="0"/>
        <w:ind w:left="809"/>
        <w:jc w:val="both"/>
      </w:pPr>
    </w:p>
    <w:tbl>
      <w:tblPr>
        <w:tblStyle w:val="TableGrid"/>
        <w:tblW w:w="0" w:type="auto"/>
        <w:tblInd w:w="809" w:type="dxa"/>
        <w:tblLook w:val="04A0" w:firstRow="1" w:lastRow="0" w:firstColumn="1" w:lastColumn="0" w:noHBand="0" w:noVBand="1"/>
      </w:tblPr>
      <w:tblGrid>
        <w:gridCol w:w="8207"/>
      </w:tblGrid>
      <w:tr w:rsidR="000863B8" w14:paraId="28D20B1E" w14:textId="77777777" w:rsidTr="000863B8">
        <w:tc>
          <w:tcPr>
            <w:tcW w:w="9016" w:type="dxa"/>
          </w:tcPr>
          <w:p w14:paraId="54AEFDF9" w14:textId="37349EE3" w:rsidR="000863B8" w:rsidRDefault="000863B8" w:rsidP="000863B8">
            <w:pPr>
              <w:contextualSpacing/>
            </w:pPr>
            <w:r>
              <w:rPr>
                <w:b/>
              </w:rPr>
              <w:t>Example</w:t>
            </w:r>
            <w:r>
              <w:t>: Areas particularly focused on providing facilities or attractions aimed at children would typically attract greater privacy expectations over an area that typically sees attendance from the public more broadly.  The public would not typically expect LFR to be sited outside a toy shop or school that may disproportionately see children passing the LFR system if the LFR system could be sited elsewhere. There may nevertheless be instances where the intelligence case, and the need to protect children makes it necessary and proportionate to deploy LFR to these areas. For example</w:t>
            </w:r>
            <w:r w:rsidR="00C15C16">
              <w:t>,</w:t>
            </w:r>
            <w:r>
              <w:t xml:space="preserve"> if it is known that wanted sex offenders are targeting those that visit the location and it not possible to locate them by siting LFR elsewhere or using other less intrusive policing tactics. If it is necessary to use LFR at the location, mitigations to reduce the privacy impact should be used wherever possible. This could include extra measures to ensure that the signage and information about the LFR Deployment is accessible to children who pass through the Zone of Recognition. </w:t>
            </w:r>
            <w:r w:rsidR="00207F3A">
              <w:t xml:space="preserve">  The signage should be tailored to children where necessary.  </w:t>
            </w:r>
            <w:r>
              <w:t xml:space="preserve">Where it is possible to so, and does not increase the risk to children, the time of a </w:t>
            </w:r>
            <w:r w:rsidR="002A5F5C">
              <w:t>d</w:t>
            </w:r>
            <w:r>
              <w:t xml:space="preserve">eployment and configuration of a Zone of Recognition should also seek to minimise the numbers of children assessed by the LFR system. </w:t>
            </w:r>
          </w:p>
          <w:p w14:paraId="5F49AF2C" w14:textId="77777777" w:rsidR="000863B8" w:rsidRDefault="000863B8" w:rsidP="000863B8">
            <w:pPr>
              <w:jc w:val="both"/>
            </w:pPr>
          </w:p>
        </w:tc>
      </w:tr>
    </w:tbl>
    <w:p w14:paraId="24FF4864" w14:textId="3BE1E46B" w:rsidR="000863B8" w:rsidRDefault="000863B8" w:rsidP="000863B8">
      <w:pPr>
        <w:spacing w:after="0"/>
        <w:ind w:left="809"/>
        <w:jc w:val="both"/>
      </w:pPr>
    </w:p>
    <w:p w14:paraId="5E00E356" w14:textId="77777777" w:rsidR="000863B8" w:rsidRPr="008D2A37" w:rsidRDefault="000863B8" w:rsidP="4BDB320A">
      <w:pPr>
        <w:spacing w:after="0"/>
        <w:ind w:left="809"/>
        <w:jc w:val="both"/>
      </w:pPr>
      <w:r w:rsidRPr="008D2A37">
        <w:t>Areas assessed as having high expectations of privacy which give the public little option to avoid the LFR area without substantial inconvenience should generally be avoided unless the following mean that the Authorising Officer is satisfied the use of LFR in the circumstances remains necessary and proportionate:</w:t>
      </w:r>
    </w:p>
    <w:p w14:paraId="631E3C8C" w14:textId="77777777" w:rsidR="000863B8" w:rsidRPr="008D2A37" w:rsidRDefault="000863B8" w:rsidP="4BDB320A">
      <w:pPr>
        <w:pStyle w:val="ListParagraph"/>
        <w:numPr>
          <w:ilvl w:val="0"/>
          <w:numId w:val="13"/>
        </w:numPr>
        <w:spacing w:after="0"/>
        <w:jc w:val="both"/>
      </w:pPr>
      <w:r w:rsidRPr="008D2A37">
        <w:t>the importance of using LFR in that location to realise a legitimate aim supports LFR’s use;</w:t>
      </w:r>
    </w:p>
    <w:p w14:paraId="1A05ACB1" w14:textId="77777777" w:rsidR="000863B8" w:rsidRPr="008D2A37" w:rsidRDefault="000863B8" w:rsidP="4BDB320A">
      <w:pPr>
        <w:pStyle w:val="ListParagraph"/>
        <w:numPr>
          <w:ilvl w:val="0"/>
          <w:numId w:val="13"/>
        </w:numPr>
        <w:spacing w:after="0"/>
        <w:jc w:val="both"/>
        <w:rPr>
          <w:i/>
          <w:iCs/>
        </w:rPr>
      </w:pPr>
      <w:r w:rsidRPr="008D2A37">
        <w:t xml:space="preserve">the lack of a viable, less intrusive alternative available for use in the circumstances; </w:t>
      </w:r>
      <w:r w:rsidRPr="008D2A37">
        <w:rPr>
          <w:i/>
          <w:iCs/>
        </w:rPr>
        <w:t>and</w:t>
      </w:r>
    </w:p>
    <w:p w14:paraId="18584CEE" w14:textId="6568AFDA" w:rsidR="000863B8" w:rsidRPr="008D2A37" w:rsidRDefault="000863B8" w:rsidP="4BDB320A">
      <w:pPr>
        <w:pStyle w:val="ListParagraph"/>
        <w:numPr>
          <w:ilvl w:val="0"/>
          <w:numId w:val="13"/>
        </w:numPr>
        <w:spacing w:after="0"/>
        <w:jc w:val="both"/>
      </w:pPr>
      <w:r w:rsidRPr="008D2A37">
        <w:t>any further mitigations to reduce any impact to the wider public</w:t>
      </w:r>
      <w:r w:rsidR="2A0279F1" w:rsidRPr="008D2A37">
        <w:t xml:space="preserve"> in so far as it is possible to do so.</w:t>
      </w:r>
    </w:p>
    <w:p w14:paraId="6E0AEF55" w14:textId="77777777" w:rsidR="000863B8" w:rsidRDefault="000863B8" w:rsidP="000863B8">
      <w:pPr>
        <w:pStyle w:val="ListParagraph"/>
        <w:spacing w:after="0"/>
        <w:ind w:left="1578"/>
        <w:jc w:val="both"/>
      </w:pPr>
    </w:p>
    <w:tbl>
      <w:tblPr>
        <w:tblStyle w:val="TableGrid"/>
        <w:tblW w:w="0" w:type="auto"/>
        <w:tblInd w:w="846" w:type="dxa"/>
        <w:tblLook w:val="04A0" w:firstRow="1" w:lastRow="0" w:firstColumn="1" w:lastColumn="0" w:noHBand="0" w:noVBand="1"/>
      </w:tblPr>
      <w:tblGrid>
        <w:gridCol w:w="8170"/>
      </w:tblGrid>
      <w:tr w:rsidR="00082EFC" w14:paraId="50AFB5E5" w14:textId="77777777" w:rsidTr="00082EFC">
        <w:tc>
          <w:tcPr>
            <w:tcW w:w="8170" w:type="dxa"/>
          </w:tcPr>
          <w:p w14:paraId="4A12DCDC" w14:textId="5A396219" w:rsidR="00082EFC" w:rsidRDefault="00082EFC" w:rsidP="00082EFC">
            <w:pPr>
              <w:spacing w:line="240" w:lineRule="auto"/>
              <w:jc w:val="both"/>
            </w:pPr>
            <w:r>
              <w:rPr>
                <w:b/>
              </w:rPr>
              <w:t>Example</w:t>
            </w:r>
            <w:r>
              <w:t>: If there was a necessity and proportionality case, based on intelligence, to deploy LFR in a</w:t>
            </w:r>
            <w:r w:rsidR="00350E08">
              <w:t xml:space="preserve"> residential</w:t>
            </w:r>
            <w:r>
              <w:t xml:space="preserve"> suburban area to locate a group of burglary offenders, then we understand there may be a greater expectation of privacy in this area</w:t>
            </w:r>
            <w:r w:rsidR="00350E08">
              <w:t xml:space="preserve"> when compared to a non-residential area</w:t>
            </w:r>
            <w:r>
              <w:t xml:space="preserve">. To mitigate this, depending on the circumstances we may provide additional communication about the use of LFR, for example by leafleting local residents or posting on local neighbourhood social media groups. </w:t>
            </w:r>
          </w:p>
        </w:tc>
      </w:tr>
    </w:tbl>
    <w:p w14:paraId="47D8E264" w14:textId="6671DF9B" w:rsidR="000863B8" w:rsidRDefault="000863B8" w:rsidP="000863B8">
      <w:pPr>
        <w:spacing w:after="0"/>
        <w:jc w:val="both"/>
      </w:pPr>
    </w:p>
    <w:tbl>
      <w:tblPr>
        <w:tblStyle w:val="TableGrid"/>
        <w:tblW w:w="0" w:type="auto"/>
        <w:tblInd w:w="846" w:type="dxa"/>
        <w:tblLook w:val="04A0" w:firstRow="1" w:lastRow="0" w:firstColumn="1" w:lastColumn="0" w:noHBand="0" w:noVBand="1"/>
      </w:tblPr>
      <w:tblGrid>
        <w:gridCol w:w="8170"/>
      </w:tblGrid>
      <w:tr w:rsidR="00082EFC" w14:paraId="4EA244F5" w14:textId="77777777" w:rsidTr="00C3F993">
        <w:tc>
          <w:tcPr>
            <w:tcW w:w="8170" w:type="dxa"/>
          </w:tcPr>
          <w:p w14:paraId="6639B359" w14:textId="2CC363B3" w:rsidR="00082EFC" w:rsidRDefault="00082EFC" w:rsidP="00903494">
            <w:pPr>
              <w:spacing w:line="240" w:lineRule="auto"/>
              <w:jc w:val="both"/>
            </w:pPr>
            <w:r w:rsidRPr="00C3F993">
              <w:rPr>
                <w:b/>
                <w:bCs/>
              </w:rPr>
              <w:t>Authorising Officers</w:t>
            </w:r>
            <w:r>
              <w:t xml:space="preserve">: When taking a decision to deploy LFR, Authorising Officers should record the measures taken to ensure the use of LFR causes the least possible interference to the person(s) sought and others. This should include explicit reference to any particular privacy considerations that may be relevant to a </w:t>
            </w:r>
            <w:r w:rsidR="4BBFA166">
              <w:t>d</w:t>
            </w:r>
            <w:r w:rsidR="023F38FA">
              <w:t xml:space="preserve">eployment location and any mitigations in place to impact the LFR Deployment. Authorising Officers should then continue to review </w:t>
            </w:r>
            <w:r w:rsidR="00903494">
              <w:t>d</w:t>
            </w:r>
            <w:r>
              <w:t>eployments of LFR to ensure the use case remains appropriate.</w:t>
            </w:r>
          </w:p>
        </w:tc>
      </w:tr>
    </w:tbl>
    <w:p w14:paraId="28F0F968" w14:textId="77777777" w:rsidR="000863B8" w:rsidRPr="000B7C61" w:rsidRDefault="000863B8" w:rsidP="000863B8">
      <w:pPr>
        <w:pStyle w:val="LFRNumberedBodyText"/>
        <w:numPr>
          <w:ilvl w:val="0"/>
          <w:numId w:val="0"/>
        </w:numPr>
        <w:rPr>
          <w:b/>
          <w:bCs/>
        </w:rPr>
      </w:pPr>
    </w:p>
    <w:p w14:paraId="6135A8FC" w14:textId="3A24AE46" w:rsidR="00B42F6F" w:rsidRPr="0091488C" w:rsidRDefault="00B42F6F" w:rsidP="00B42F6F">
      <w:pPr>
        <w:keepNext/>
        <w:keepLines/>
        <w:numPr>
          <w:ilvl w:val="1"/>
          <w:numId w:val="4"/>
        </w:numPr>
        <w:ind w:left="426" w:hanging="426"/>
        <w:jc w:val="both"/>
        <w:rPr>
          <w:b/>
          <w:bCs/>
        </w:rPr>
      </w:pPr>
      <w:r w:rsidRPr="0091488C">
        <w:rPr>
          <w:b/>
          <w:bCs/>
        </w:rPr>
        <w:lastRenderedPageBreak/>
        <w:t>Wider Human Rights Act considerations</w:t>
      </w:r>
    </w:p>
    <w:p w14:paraId="4C73274D" w14:textId="77777777" w:rsidR="00B42F6F" w:rsidRDefault="00B42F6F" w:rsidP="00B42F6F">
      <w:pPr>
        <w:pStyle w:val="ListParagraph"/>
        <w:keepNext/>
        <w:keepLines/>
        <w:ind w:left="426"/>
        <w:jc w:val="both"/>
      </w:pPr>
      <w:r>
        <w:t xml:space="preserve">The right to privacy is a value which protects the autonomy and human dignity of individuals by enabling them to conduct their lives in a way of their choosing. There are therefore circumstances when freedom of thought, conscience and religion (Article 9), freedom of expression (Article 10) and freedom of assembly and of association (Article 11) may be particularly relevant. </w:t>
      </w:r>
    </w:p>
    <w:p w14:paraId="78B78FDC" w14:textId="77777777" w:rsidR="00B42F6F" w:rsidRDefault="00B42F6F" w:rsidP="00B42F6F">
      <w:pPr>
        <w:pStyle w:val="ListParagraph"/>
        <w:keepNext/>
        <w:keepLines/>
        <w:ind w:left="426"/>
        <w:jc w:val="both"/>
      </w:pPr>
    </w:p>
    <w:p w14:paraId="3516D16D" w14:textId="274D9B5E" w:rsidR="00B42F6F" w:rsidRDefault="00B42F6F" w:rsidP="00E14901">
      <w:pPr>
        <w:pStyle w:val="ListParagraph"/>
        <w:numPr>
          <w:ilvl w:val="0"/>
          <w:numId w:val="14"/>
        </w:numPr>
        <w:jc w:val="both"/>
      </w:pPr>
      <w:r w:rsidRPr="00B42F6F">
        <w:rPr>
          <w:i/>
        </w:rPr>
        <w:t xml:space="preserve">Article 9. </w:t>
      </w:r>
      <w:r>
        <w:t>The clothing people wear can be an act of thought, conscience and religion and in normal circumstances, the police do not have the legal power to require a person to remove clothing (including any headdress) simply because they are passing the LFR system. Additionally, the location where people may pass the LFR system may also engage</w:t>
      </w:r>
      <w:r w:rsidR="00B05DD2">
        <w:t xml:space="preserve"> </w:t>
      </w:r>
      <w:r>
        <w:t>Article 9.</w:t>
      </w:r>
    </w:p>
    <w:p w14:paraId="476D08A8" w14:textId="16C8DF62" w:rsidR="00B42F6F" w:rsidRDefault="00B42F6F" w:rsidP="00B42F6F">
      <w:pPr>
        <w:pStyle w:val="ListParagraph"/>
        <w:ind w:left="809"/>
        <w:jc w:val="both"/>
      </w:pPr>
      <w:r>
        <w:t xml:space="preserve"> </w:t>
      </w:r>
      <w:r>
        <w:rPr>
          <w:noProof/>
          <w:lang w:eastAsia="en-GB"/>
        </w:rPr>
        <mc:AlternateContent>
          <mc:Choice Requires="wps">
            <w:drawing>
              <wp:inline distT="0" distB="0" distL="0" distR="0" wp14:anchorId="7A37FE0D" wp14:editId="0ECAD7E3">
                <wp:extent cx="5231765" cy="2482850"/>
                <wp:effectExtent l="9525" t="9525" r="6985" b="1270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1765" cy="2482850"/>
                        </a:xfrm>
                        <a:prstGeom prst="rect">
                          <a:avLst/>
                        </a:prstGeom>
                        <a:solidFill>
                          <a:srgbClr val="FFFFFF"/>
                        </a:solidFill>
                        <a:ln w="9525">
                          <a:solidFill>
                            <a:srgbClr val="000000"/>
                          </a:solidFill>
                          <a:miter lim="800000"/>
                          <a:headEnd/>
                          <a:tailEnd/>
                        </a:ln>
                      </wps:spPr>
                      <wps:txbx>
                        <w:txbxContent>
                          <w:p w14:paraId="61DEAAE4" w14:textId="0778B564" w:rsidR="002A5F5C" w:rsidRDefault="002A5F5C" w:rsidP="00B42F6F">
                            <w:pPr>
                              <w:contextualSpacing/>
                            </w:pPr>
                            <w:r>
                              <w:rPr>
                                <w:b/>
                              </w:rPr>
                              <w:t>Example</w:t>
                            </w:r>
                            <w:r>
                              <w:t xml:space="preserve">: The use of LFR can assist HIOWC to ensure public safety, including at a place of worship where the intelligence case has identified a threat to the public. A decision to place a LFR Deployment outside a place of worship or in a way that substantially impedes access to a place of worship can engage Article 9.  In this context, the public safety considerations need to be balanced against the need to use LFR at that location. If the public safety policing objectives could be achieved by deploying the LFR system elsewhere, it would not be necessary to deploy LFR at the proposed location. If the threat that makes it necessary to site LFR near to a place of worship, Authorising Officers also need to determine if the infringement on Article 9 rights is disproportionate to the likely benefits of using LFR. Considerations would typically include the impact on those seeking to access a place of worship, the likely impact on the same people without LFR (being potentially impacted by other policing measures or site closures) and the benefits to safety LFR brings the public. </w:t>
                            </w:r>
                          </w:p>
                          <w:p w14:paraId="364EE490" w14:textId="77777777" w:rsidR="002A5F5C" w:rsidRDefault="002A5F5C" w:rsidP="00B42F6F">
                            <w:pPr>
                              <w:contextualSpacing/>
                            </w:pPr>
                          </w:p>
                          <w:p w14:paraId="0BA34C32" w14:textId="77777777" w:rsidR="002A5F5C" w:rsidRDefault="002A5F5C" w:rsidP="00B42F6F">
                            <w:r>
                              <w:t xml:space="preserve"> </w:t>
                            </w:r>
                          </w:p>
                        </w:txbxContent>
                      </wps:txbx>
                      <wps:bodyPr rot="0" vert="horz" wrap="square" lIns="91440" tIns="45720" rIns="91440" bIns="45720" anchor="t" anchorCtr="0" upright="1">
                        <a:noAutofit/>
                      </wps:bodyPr>
                    </wps:wsp>
                  </a:graphicData>
                </a:graphic>
              </wp:inline>
            </w:drawing>
          </mc:Choice>
          <mc:Fallback>
            <w:pict>
              <v:shapetype w14:anchorId="7A37FE0D" id="_x0000_t202" coordsize="21600,21600" o:spt="202" path="m,l,21600r21600,l21600,xe">
                <v:stroke joinstyle="miter"/>
                <v:path gradientshapeok="t" o:connecttype="rect"/>
              </v:shapetype>
              <v:shape id="Text Box 4" o:spid="_x0000_s1026" type="#_x0000_t202" style="width:411.95pt;height:1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IXAGAIAACwEAAAOAAAAZHJzL2Uyb0RvYy54bWysU9tu2zAMfR+wfxD0vjjxkjY14hRdugwD&#10;ugvQ7QNkWY6FyaJGKbG7ry8lp2nQbS/D9CCIInVEHh6urofOsINCr8GWfDaZcqashFrbXcm/f9u+&#10;WXLmg7C1MGBVyR+U59fr169WvStUDi2YWiEjEOuL3pW8DcEVWeZlqzrhJ+CUJWcD2IlAJu6yGkVP&#10;6J3J8un0IusBa4cglfd0ezs6+TrhN42S4UvTeBWYKTnlFtKOaa/inq1XotihcK2WxzTEP2TRCW3p&#10;0xPUrQiC7VH/BtVpieChCRMJXQZNo6VKNVA1s+mLau5b4VSqhcjx7kST/3+w8vPh3n1FFoZ3MFAD&#10;UxHe3YH84ZmFTSvsTt0gQt8qUdPHs0hZ1jtfHJ9Gqn3hI0jVf4Kamiz2ARLQ0GAXWaE6GaFTAx5O&#10;pKshMEmXi/zt7PJiwZkkXz5f5stFaksmiqfnDn34oKBj8VBypK4meHG48yGmI4qnkPibB6PrrTYm&#10;GbirNgbZQZACtmmlCl6EGcv6kl8t8sXIwF8hpmn9CaLTgaRsdFfy5SlIFJG397ZOQgtCm/FMKRt7&#10;JDJyN7IYhmqgwEhoBfUDUYowSpZGjA4t4C/OepJryf3PvUDFmfloqS1Xs/k86jsZ88VlTgaee6pz&#10;j7CSoEoeOBuPmzDOxN6h3rX00ygECzfUykYnkp+zOuZNkkzcH8cnav7cTlHPQ75+BAAA//8DAFBL&#10;AwQUAAYACAAAACEA7zekcd0AAAAFAQAADwAAAGRycy9kb3ducmV2LnhtbEyPwU7DMBBE75X4B2uR&#10;eqlapw1qkxCnQkhFcCsFwdWNt0mEvQ62m4a/x3CBy0qjGc28Lbej0WxA5ztLApaLBBhSbVVHjYDX&#10;l908A+aDJCW1JRTwhR621dWklIWyF3rG4RAaFkvIF1JAG0JfcO7rFo30C9sjRe9knZEhStdw5eQl&#10;lhvNV0my5kZ2FBda2eN9i/XH4WwEZDePw7t/Svdv9fqk8zDbDA+fTojp9Xh3CyzgGP7C8IMf0aGK&#10;TEd7JuWZFhAfCb83etkqzYEdBaT5MgFelfw/ffUNAAD//wMAUEsBAi0AFAAGAAgAAAAhALaDOJL+&#10;AAAA4QEAABMAAAAAAAAAAAAAAAAAAAAAAFtDb250ZW50X1R5cGVzXS54bWxQSwECLQAUAAYACAAA&#10;ACEAOP0h/9YAAACUAQAACwAAAAAAAAAAAAAAAAAvAQAAX3JlbHMvLnJlbHNQSwECLQAUAAYACAAA&#10;ACEA+FSFwBgCAAAsBAAADgAAAAAAAAAAAAAAAAAuAgAAZHJzL2Uyb0RvYy54bWxQSwECLQAUAAYA&#10;CAAAACEA7zekcd0AAAAFAQAADwAAAAAAAAAAAAAAAAByBAAAZHJzL2Rvd25yZXYueG1sUEsFBgAA&#10;AAAEAAQA8wAAAHwFAAAAAA==&#10;">
                <v:textbox>
                  <w:txbxContent>
                    <w:p w14:paraId="61DEAAE4" w14:textId="0778B564" w:rsidR="002A5F5C" w:rsidRDefault="002A5F5C" w:rsidP="00B42F6F">
                      <w:pPr>
                        <w:contextualSpacing/>
                      </w:pPr>
                      <w:r>
                        <w:rPr>
                          <w:b/>
                        </w:rPr>
                        <w:t>Example</w:t>
                      </w:r>
                      <w:r>
                        <w:t xml:space="preserve">: The use of LFR can assist HIOWC to ensure public safety, including at a place of worship where the intelligence case has identified a threat to the public. A decision to place a LFR Deployment outside a place of worship or in a way that substantially impedes access to a place of worship can engage Article 9.  In this context, the public safety considerations need to be balanced against the need to use LFR at that location. If the public safety policing objectives could be achieved by deploying the LFR system elsewhere, it would not be necessary to deploy LFR at the proposed location. If the threat that makes it necessary to site LFR near to a place of worship, Authorising Officers also need to determine if the infringement on Article 9 rights is disproportionate to the likely benefits of using LFR. Considerations would typically include the impact on those seeking to access a place of worship, the likely impact on the same people without LFR (being potentially impacted by other policing measures or site closures) and the benefits to safety LFR brings the public. </w:t>
                      </w:r>
                    </w:p>
                    <w:p w14:paraId="364EE490" w14:textId="77777777" w:rsidR="002A5F5C" w:rsidRDefault="002A5F5C" w:rsidP="00B42F6F">
                      <w:pPr>
                        <w:contextualSpacing/>
                      </w:pPr>
                    </w:p>
                    <w:p w14:paraId="0BA34C32" w14:textId="77777777" w:rsidR="002A5F5C" w:rsidRDefault="002A5F5C" w:rsidP="00B42F6F">
                      <w:r>
                        <w:t xml:space="preserve"> </w:t>
                      </w:r>
                    </w:p>
                  </w:txbxContent>
                </v:textbox>
                <w10:anchorlock/>
              </v:shape>
            </w:pict>
          </mc:Fallback>
        </mc:AlternateContent>
      </w:r>
    </w:p>
    <w:p w14:paraId="3CF1E880" w14:textId="77777777" w:rsidR="00B42F6F" w:rsidRDefault="00B42F6F" w:rsidP="00B42F6F">
      <w:pPr>
        <w:pStyle w:val="ListParagraph"/>
        <w:ind w:left="809"/>
        <w:jc w:val="both"/>
      </w:pPr>
    </w:p>
    <w:p w14:paraId="27715DAE" w14:textId="429CE150" w:rsidR="00B42F6F" w:rsidRDefault="00B42F6F" w:rsidP="00E14901">
      <w:pPr>
        <w:pStyle w:val="ListParagraph"/>
        <w:numPr>
          <w:ilvl w:val="0"/>
          <w:numId w:val="14"/>
        </w:numPr>
        <w:jc w:val="both"/>
      </w:pPr>
      <w:r w:rsidRPr="00B42F6F">
        <w:rPr>
          <w:i/>
        </w:rPr>
        <w:t>Article</w:t>
      </w:r>
      <w:r w:rsidR="0003405C">
        <w:rPr>
          <w:i/>
        </w:rPr>
        <w:t>s</w:t>
      </w:r>
      <w:r w:rsidRPr="00B42F6F">
        <w:rPr>
          <w:i/>
        </w:rPr>
        <w:t xml:space="preserve"> 10 and 11</w:t>
      </w:r>
      <w:r>
        <w:t xml:space="preserve"> have particular relevance when considering both the policing of assemblies and demonstrations and any use of LFR which may impact on an assembly or demonstration. Article 10 is especially pertinent should people have reservations about expressing themselves as a result of an LFR Deployment. Article 11 is also relevant should the use of LFR deter people from attending an assembly or demonstration at all or otherwise cause people to minimise their involvement. </w:t>
      </w:r>
    </w:p>
    <w:p w14:paraId="43239442" w14:textId="77777777" w:rsidR="00B42F6F" w:rsidRDefault="00B42F6F" w:rsidP="00B42F6F">
      <w:pPr>
        <w:pStyle w:val="ListParagraph"/>
        <w:widowControl w:val="0"/>
        <w:rPr>
          <w:b/>
          <w:noProof/>
          <w:lang w:eastAsia="en-GB"/>
        </w:rPr>
      </w:pPr>
    </w:p>
    <w:p w14:paraId="46FB7CB8" w14:textId="34D6E728" w:rsidR="00B42F6F" w:rsidRDefault="00B42F6F" w:rsidP="00B42F6F">
      <w:pPr>
        <w:pStyle w:val="ListParagraph"/>
        <w:widowControl w:val="0"/>
      </w:pPr>
      <w:r>
        <w:rPr>
          <w:noProof/>
          <w:lang w:eastAsia="en-GB"/>
        </w:rPr>
        <mc:AlternateContent>
          <mc:Choice Requires="wps">
            <w:drawing>
              <wp:inline distT="0" distB="0" distL="0" distR="0" wp14:anchorId="511A2D63" wp14:editId="07C1E766">
                <wp:extent cx="5310505" cy="2646045"/>
                <wp:effectExtent l="9525" t="9525" r="13970" b="1143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0505" cy="2646045"/>
                        </a:xfrm>
                        <a:prstGeom prst="rect">
                          <a:avLst/>
                        </a:prstGeom>
                        <a:solidFill>
                          <a:srgbClr val="FFFFFF"/>
                        </a:solidFill>
                        <a:ln w="9525">
                          <a:solidFill>
                            <a:srgbClr val="000000"/>
                          </a:solidFill>
                          <a:miter lim="800000"/>
                          <a:headEnd/>
                          <a:tailEnd/>
                        </a:ln>
                      </wps:spPr>
                      <wps:txbx>
                        <w:txbxContent>
                          <w:p w14:paraId="57CEB5D8" w14:textId="7C112CB4" w:rsidR="002A5F5C" w:rsidRDefault="002A5F5C" w:rsidP="00B42F6F">
                            <w:pPr>
                              <w:contextualSpacing/>
                            </w:pPr>
                            <w:r>
                              <w:rPr>
                                <w:b/>
                              </w:rPr>
                              <w:t>Example</w:t>
                            </w:r>
                            <w:r>
                              <w:t xml:space="preserve">: The use of LFR can assist HIOWC in policing an assembly or demonstration, particularly where there is an intelligence case supporting there being a risk to public safety. Specifically, LFR can support police officers by efficiently searching for perpetrators of violence in crowded locations where it might otherwise be difficult to locate them. In deciding the use of LFR is necessary and proportionate, regard should be had to an individual’s Article 10 and 11 rights – noting there may be expectations of anonymity in a crowd and that individuals may choose to alter their means of demonstration as a result of the LFR Deployment. </w:t>
                            </w:r>
                          </w:p>
                          <w:p w14:paraId="3022F989" w14:textId="77777777" w:rsidR="002A5F5C" w:rsidRDefault="002A5F5C" w:rsidP="00B42F6F">
                            <w:pPr>
                              <w:contextualSpacing/>
                            </w:pPr>
                            <w:r>
                              <w:t>Article 10 and 11 rights must be weighed against the need to use LFR to enable an assembly that might otherwise be disrupted by the risk to public safety.  In making this decision, consideration should be given to factors which could minimise the impact of LFR. These include limiting the use of LFR in time and scope to the minimum needed to ensure safety. They could also include there being focus placed on ensuring the public understand the use of LFR is to help them safety undertake their assembly.</w:t>
                            </w:r>
                          </w:p>
                          <w:p w14:paraId="48CBBCFC" w14:textId="77777777" w:rsidR="002A5F5C" w:rsidRDefault="002A5F5C" w:rsidP="00B42F6F">
                            <w:pPr>
                              <w:spacing w:after="0"/>
                              <w:jc w:val="both"/>
                            </w:pPr>
                          </w:p>
                          <w:p w14:paraId="4B1DDC93" w14:textId="77777777" w:rsidR="002A5F5C" w:rsidRDefault="002A5F5C" w:rsidP="00B42F6F">
                            <w:r>
                              <w:t xml:space="preserve"> </w:t>
                            </w:r>
                          </w:p>
                        </w:txbxContent>
                      </wps:txbx>
                      <wps:bodyPr rot="0" vert="horz" wrap="square" lIns="91440" tIns="45720" rIns="91440" bIns="45720" anchor="t" anchorCtr="0" upright="1">
                        <a:noAutofit/>
                      </wps:bodyPr>
                    </wps:wsp>
                  </a:graphicData>
                </a:graphic>
              </wp:inline>
            </w:drawing>
          </mc:Choice>
          <mc:Fallback>
            <w:pict>
              <v:shape w14:anchorId="511A2D63" id="Text Box 3" o:spid="_x0000_s1027" type="#_x0000_t202" style="width:418.15pt;height:20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b8zGgIAADMEAAAOAAAAZHJzL2Uyb0RvYy54bWysU9tu2zAMfR+wfxD0vtrJ4qw14hRdug4D&#10;ugvQ7QMUWY6FyaJGKbGzrx8lu2l2exmmB0EUpUPy8HB1PXSGHRR6Dbbis4ucM2Ul1NruKv7l892L&#10;S858ELYWBqyq+FF5fr1+/mzVu1LNoQVTK2QEYn3Zu4q3Ibgyy7xsVSf8BThlydkAdiKQibusRtET&#10;emeyeZ4vsx6wdghSeU+3t6OTrxN+0ygZPjaNV4GZilNuIe2Y9m3cs/VKlDsUrtVySkP8Qxad0JaC&#10;nqBuRRBsj/o3qE5LBA9NuJDQZdA0WqpUA1Uzy3+p5qEVTqVaiBzvTjT5/wcrPxwe3CdkYXgNAzUw&#10;FeHdPcivnlnYtMLu1A0i9K0SNQWeRcqy3vly+hqp9qWPINv+PdTUZLEPkICGBrvICtXJCJ0acDyR&#10;robAJF0WL2d5kRecSfLNl4tlvihSDFE+fnfow1sFHYuHiiN1NcGLw70PMR1RPj6J0TwYXd9pY5KB&#10;u+3GIDsIUsBdWhP6T8+MZX3Fr4p5MTLwV4g8rT9BdDqQlI3uKn55eiTKyNsbWyehBaHNeKaUjZ2I&#10;jNyNLIZhOzBdTyxHXrdQH4lZhFG5NGl0aAG/c9aTaivuv+0FKs7MO0vduZotFlHmyVgUr+Zk4Lln&#10;e+4RVhJUxQNn43ETxtHYO9S7liKNerBwQx1tdOL6KaspfVJmasE0RVH653Z69TTr6x8AAAD//wMA&#10;UEsDBBQABgAIAAAAIQAuZzic3QAAAAUBAAAPAAAAZHJzL2Rvd25yZXYueG1sTI/BTsMwEETvSPyD&#10;tUhcUOuUVGkIcaoKCQS3tlRwdeNtEtVeB9tNw99juJTLSqMZzbwtl6PRbEDnO0sCZtMEGFJtVUeN&#10;gN378yQH5oMkJbUlFPCNHpbV9VUpC2XPtMFhGxoWS8gXUkAbQl9w7usWjfRT2yNF72CdkSFK13Dl&#10;5DmWG83vkyTjRnYUF1rZ41OL9XF7MgLy+evw6d/S9UedHfRDuFsML19OiNubcfUILOAYLmH4xY/o&#10;UEWmvT2R8kwLiI+Evxu9PM1SYHsB81m2AF6V/D999QMAAP//AwBQSwECLQAUAAYACAAAACEAtoM4&#10;kv4AAADhAQAAEwAAAAAAAAAAAAAAAAAAAAAAW0NvbnRlbnRfVHlwZXNdLnhtbFBLAQItABQABgAI&#10;AAAAIQA4/SH/1gAAAJQBAAALAAAAAAAAAAAAAAAAAC8BAABfcmVscy8ucmVsc1BLAQItABQABgAI&#10;AAAAIQDC2b8zGgIAADMEAAAOAAAAAAAAAAAAAAAAAC4CAABkcnMvZTJvRG9jLnhtbFBLAQItABQA&#10;BgAIAAAAIQAuZzic3QAAAAUBAAAPAAAAAAAAAAAAAAAAAHQEAABkcnMvZG93bnJldi54bWxQSwUG&#10;AAAAAAQABADzAAAAfgUAAAAA&#10;">
                <v:textbox>
                  <w:txbxContent>
                    <w:p w14:paraId="57CEB5D8" w14:textId="7C112CB4" w:rsidR="002A5F5C" w:rsidRDefault="002A5F5C" w:rsidP="00B42F6F">
                      <w:pPr>
                        <w:contextualSpacing/>
                      </w:pPr>
                      <w:r>
                        <w:rPr>
                          <w:b/>
                        </w:rPr>
                        <w:t>Example</w:t>
                      </w:r>
                      <w:r>
                        <w:t xml:space="preserve">: The use of LFR can assist HIOWC in policing an assembly or demonstration, particularly where there is an intelligence case supporting there being a risk to public safety. Specifically, LFR can support police officers by efficiently searching for perpetrators of violence in crowded locations where it might otherwise be difficult to locate them. In deciding the use of LFR is necessary and proportionate, regard should be had to an individual’s Article 10 and 11 rights – noting there may be expectations of anonymity in a crowd and that individuals may choose to alter their means of demonstration as a result of the LFR Deployment. </w:t>
                      </w:r>
                    </w:p>
                    <w:p w14:paraId="3022F989" w14:textId="77777777" w:rsidR="002A5F5C" w:rsidRDefault="002A5F5C" w:rsidP="00B42F6F">
                      <w:pPr>
                        <w:contextualSpacing/>
                      </w:pPr>
                      <w:r>
                        <w:t>Article 10 and 11 rights must be weighed against the need to use LFR to enable an assembly that might otherwise be disrupted by the risk to public safety.  In making this decision, consideration should be given to factors which could minimise the impact of LFR. These include limiting the use of LFR in time and scope to the minimum needed to ensure safety. They could also include there being focus placed on ensuring the public understand the use of LFR is to help them safety undertake their assembly.</w:t>
                      </w:r>
                    </w:p>
                    <w:p w14:paraId="48CBBCFC" w14:textId="77777777" w:rsidR="002A5F5C" w:rsidRDefault="002A5F5C" w:rsidP="00B42F6F">
                      <w:pPr>
                        <w:spacing w:after="0"/>
                        <w:jc w:val="both"/>
                      </w:pPr>
                    </w:p>
                    <w:p w14:paraId="4B1DDC93" w14:textId="77777777" w:rsidR="002A5F5C" w:rsidRDefault="002A5F5C" w:rsidP="00B42F6F">
                      <w:r>
                        <w:t xml:space="preserve"> </w:t>
                      </w:r>
                    </w:p>
                  </w:txbxContent>
                </v:textbox>
                <w10:anchorlock/>
              </v:shape>
            </w:pict>
          </mc:Fallback>
        </mc:AlternateContent>
      </w:r>
    </w:p>
    <w:p w14:paraId="38EC8964" w14:textId="77777777" w:rsidR="00B42F6F" w:rsidRDefault="00B42F6F" w:rsidP="00B42F6F">
      <w:pPr>
        <w:pStyle w:val="ListParagraph"/>
        <w:keepNext/>
        <w:keepLines/>
        <w:ind w:left="426"/>
        <w:jc w:val="both"/>
        <w:rPr>
          <w:u w:val="single"/>
        </w:rPr>
      </w:pPr>
    </w:p>
    <w:p w14:paraId="655FA668" w14:textId="77777777" w:rsidR="00B42F6F" w:rsidRPr="00A30CB9" w:rsidRDefault="00B42F6F" w:rsidP="00E14901">
      <w:pPr>
        <w:pStyle w:val="ListParagraph"/>
        <w:numPr>
          <w:ilvl w:val="0"/>
          <w:numId w:val="14"/>
        </w:numPr>
        <w:jc w:val="both"/>
        <w:rPr>
          <w:i/>
        </w:rPr>
      </w:pPr>
      <w:r w:rsidRPr="00A30CB9">
        <w:rPr>
          <w:i/>
        </w:rPr>
        <w:t>Operational Duties</w:t>
      </w:r>
    </w:p>
    <w:p w14:paraId="217FBEE5" w14:textId="595F52BA" w:rsidR="00B42F6F" w:rsidRDefault="51CA04C6" w:rsidP="00346D0B">
      <w:pPr>
        <w:pStyle w:val="NormalWeb"/>
        <w:spacing w:before="0" w:after="120" w:line="252" w:lineRule="auto"/>
        <w:ind w:left="809" w:right="-46"/>
        <w:rPr>
          <w:rFonts w:asciiTheme="minorHAnsi" w:eastAsiaTheme="minorHAnsi" w:hAnsiTheme="minorHAnsi" w:cstheme="minorBidi"/>
          <w:szCs w:val="22"/>
        </w:rPr>
      </w:pPr>
      <w:r w:rsidRPr="21D6228F">
        <w:rPr>
          <w:rFonts w:asciiTheme="minorHAnsi" w:eastAsiaTheme="minorEastAsia" w:hAnsiTheme="minorHAnsi" w:cstheme="minorBidi"/>
        </w:rPr>
        <w:t xml:space="preserve">The ‘operational duty’ was first outlined in the case of </w:t>
      </w:r>
      <w:r w:rsidRPr="21D6228F">
        <w:rPr>
          <w:rFonts w:asciiTheme="minorHAnsi" w:eastAsiaTheme="minorEastAsia" w:hAnsiTheme="minorHAnsi" w:cstheme="minorBidi"/>
          <w:i/>
          <w:iCs/>
        </w:rPr>
        <w:t>Osman v United Kingdom</w:t>
      </w:r>
      <w:r w:rsidR="00B42F6F" w:rsidRPr="21D6228F">
        <w:rPr>
          <w:rStyle w:val="FootnoteReference"/>
          <w:rFonts w:asciiTheme="minorHAnsi" w:eastAsiaTheme="minorEastAsia" w:hAnsiTheme="minorHAnsi" w:cstheme="minorBidi"/>
          <w:i/>
          <w:iCs/>
        </w:rPr>
        <w:footnoteReference w:id="10"/>
      </w:r>
      <w:r w:rsidRPr="21D6228F">
        <w:rPr>
          <w:rFonts w:asciiTheme="minorHAnsi" w:eastAsiaTheme="minorEastAsia" w:hAnsiTheme="minorHAnsi" w:cstheme="minorBidi"/>
        </w:rPr>
        <w:t xml:space="preserve"> and concerned an alleged failure to prevent the young victim and his family from the risk to life posed by a stalker. The European Court of Human Rights in </w:t>
      </w:r>
      <w:r w:rsidRPr="21D6228F">
        <w:rPr>
          <w:rFonts w:asciiTheme="minorHAnsi" w:eastAsiaTheme="minorEastAsia" w:hAnsiTheme="minorHAnsi" w:cstheme="minorBidi"/>
          <w:i/>
          <w:iCs/>
        </w:rPr>
        <w:t>Osman</w:t>
      </w:r>
      <w:r w:rsidRPr="21D6228F">
        <w:rPr>
          <w:rFonts w:asciiTheme="minorHAnsi" w:eastAsiaTheme="minorEastAsia" w:hAnsiTheme="minorHAnsi" w:cstheme="minorBidi"/>
        </w:rPr>
        <w:t xml:space="preserve"> found that the police were under a positive duty to take reasonable measures to avert a real and immediate risk to the life of an identified individual or individuals of which the police were, or ought to have been aware. Case</w:t>
      </w:r>
      <w:r w:rsidR="5B2AD5EA" w:rsidRPr="21D6228F">
        <w:rPr>
          <w:rFonts w:asciiTheme="minorHAnsi" w:eastAsiaTheme="minorEastAsia" w:hAnsiTheme="minorHAnsi" w:cstheme="minorBidi"/>
        </w:rPr>
        <w:t xml:space="preserve"> </w:t>
      </w:r>
      <w:r w:rsidRPr="21D6228F">
        <w:rPr>
          <w:rFonts w:asciiTheme="minorHAnsi" w:eastAsiaTheme="minorEastAsia" w:hAnsiTheme="minorHAnsi" w:cstheme="minorBidi"/>
        </w:rPr>
        <w:t xml:space="preserve">law also supports that the police are under an Osman style duty to investigate serious allegations in a timely and efficient manner in order to uphold an individual’s Article 3 rights. </w:t>
      </w:r>
    </w:p>
    <w:p w14:paraId="0F0D31E8" w14:textId="4088E9BD" w:rsidR="00DF428C" w:rsidRDefault="00B42F6F" w:rsidP="00346D0B">
      <w:pPr>
        <w:pStyle w:val="NormalWeb"/>
        <w:spacing w:before="0" w:after="120" w:line="252" w:lineRule="auto"/>
        <w:ind w:left="809" w:right="-46"/>
        <w:rPr>
          <w:rFonts w:asciiTheme="minorHAnsi" w:eastAsiaTheme="minorHAnsi" w:hAnsiTheme="minorHAnsi" w:cstheme="minorBidi"/>
          <w:szCs w:val="22"/>
        </w:rPr>
      </w:pPr>
      <w:r>
        <w:rPr>
          <w:rFonts w:asciiTheme="minorHAnsi" w:eastAsiaTheme="minorHAnsi" w:hAnsiTheme="minorHAnsi" w:cstheme="minorBidi"/>
          <w:szCs w:val="22"/>
        </w:rPr>
        <w:t xml:space="preserve">The Osman operational duty has particular relevance to LFR in two contexts (i) being used to locate those posing a threat to the public or themselves where a real and immediate risk to life is identified and LFR is thought to provide an appropriate response to such risk and (ii) on an Alert being generated where the need to locate that person may engage the Osman operational duty with measures being put in place should a person generating an Alert seek to evade officers.  </w:t>
      </w:r>
    </w:p>
    <w:p w14:paraId="2C3E90F1" w14:textId="0EC18A83" w:rsidR="00B42F6F" w:rsidRPr="00F2758F" w:rsidRDefault="00DF428C" w:rsidP="00DF428C">
      <w:pPr>
        <w:pStyle w:val="ListParagraph"/>
        <w:numPr>
          <w:ilvl w:val="0"/>
          <w:numId w:val="14"/>
        </w:numPr>
        <w:jc w:val="both"/>
        <w:rPr>
          <w:i/>
          <w:color w:val="000000" w:themeColor="text1"/>
        </w:rPr>
      </w:pPr>
      <w:r w:rsidRPr="00F2758F">
        <w:rPr>
          <w:i/>
          <w:color w:val="000000" w:themeColor="text1"/>
        </w:rPr>
        <w:t xml:space="preserve">Article 14.  </w:t>
      </w:r>
      <w:r w:rsidRPr="00F2758F">
        <w:rPr>
          <w:color w:val="000000" w:themeColor="text1"/>
        </w:rPr>
        <w:t>This right requires that all of the rights and freedoms set out in the Human Rights Act 1998 must be protected and applied without discrimination. This is based on the principle that everyone, no matter who they are, should enjoy the same human rights and have equal access to them. Article 14 is not a stand-alone right – there is a need to show that discrimination has affected the enjoyment of one or more of the other human rights, not that the other rights have been actually breached.  The use of LFR will be relevant in circumstances where demographic performance of the LFR algorithm varied to such an extent that people of a particular demographic were more or less likely to see a False Alert generated against them. As a result there are two points to consider in relation to the LFR system (i) does the LFR system’s demographic differential performance vary by a particular demographic such as it results in a person suffering a discriminatory effect and (ii) if there is a different in treatment, is this capable or an objective and reasonable justification.</w:t>
      </w:r>
      <w:r w:rsidR="004554FB" w:rsidRPr="001101DB">
        <w:rPr>
          <w:color w:val="000000" w:themeColor="text1"/>
        </w:rPr>
        <w:t xml:space="preserve"> </w:t>
      </w:r>
      <w:r w:rsidR="00762C16" w:rsidRPr="001101DB">
        <w:rPr>
          <w:color w:val="000000" w:themeColor="text1"/>
        </w:rPr>
        <w:t>Having regard to published scientific research on this issue and the operational experience of other forces, HIOWC has resolved to adopt an approach as set out in the HIOWC</w:t>
      </w:r>
      <w:r w:rsidR="00F2758F" w:rsidRPr="001101DB">
        <w:rPr>
          <w:color w:val="000000" w:themeColor="text1"/>
        </w:rPr>
        <w:t xml:space="preserve"> LFR Policy and other LFR Documents which seeks to ensure that there no bias or discrimination in the operation of the LFR system. </w:t>
      </w:r>
    </w:p>
    <w:p w14:paraId="1A3C5528" w14:textId="2C072D78" w:rsidR="00190AB2" w:rsidRPr="004858D7" w:rsidRDefault="00190AB2" w:rsidP="1699BAB1">
      <w:pPr>
        <w:pStyle w:val="Heading1"/>
        <w:rPr>
          <w:rFonts w:eastAsiaTheme="minorEastAsia"/>
          <w:sz w:val="28"/>
          <w:szCs w:val="28"/>
        </w:rPr>
      </w:pPr>
      <w:bookmarkStart w:id="30" w:name="_Toc86660215"/>
      <w:r w:rsidRPr="1699BAB1">
        <w:rPr>
          <w:rFonts w:eastAsiaTheme="minorEastAsia"/>
          <w:sz w:val="28"/>
          <w:szCs w:val="28"/>
        </w:rPr>
        <w:t>EQUALITY ACT 2010</w:t>
      </w:r>
      <w:bookmarkEnd w:id="30"/>
    </w:p>
    <w:p w14:paraId="544C0D1F" w14:textId="61A9028D" w:rsidR="00B17697" w:rsidRDefault="00B17697" w:rsidP="00B17697">
      <w:pPr>
        <w:numPr>
          <w:ilvl w:val="1"/>
          <w:numId w:val="4"/>
        </w:numPr>
        <w:ind w:left="426" w:hanging="426"/>
        <w:jc w:val="both"/>
      </w:pPr>
      <w:r>
        <w:t xml:space="preserve">The Equality Act 2010 provides a legal framework to protect the rights of individuals and advance equality of opportunity for all. The Equality Act 2010 prohibits discrimination based on different treatment on the basis of a protected characteristic. The prohibition of discrimination applies to both direct and indirect discrimination. As a public authority, </w:t>
      </w:r>
      <w:r w:rsidR="0064553A">
        <w:t>HIOWC</w:t>
      </w:r>
      <w:r>
        <w:t xml:space="preserve"> must comply with section 149 of the Equality Act 2010 which is most commonly known as the Public Sector Equality Duty (“PSED”). </w:t>
      </w:r>
    </w:p>
    <w:p w14:paraId="5D228B56" w14:textId="0BCAA28C" w:rsidR="00B17697" w:rsidRDefault="00644AB3" w:rsidP="0037189D">
      <w:pPr>
        <w:numPr>
          <w:ilvl w:val="1"/>
          <w:numId w:val="4"/>
        </w:numPr>
        <w:ind w:left="426" w:hanging="426"/>
        <w:jc w:val="both"/>
      </w:pPr>
      <w:r>
        <w:t>HIOWC</w:t>
      </w:r>
      <w:r w:rsidR="00B17697">
        <w:t xml:space="preserve"> is required to take measures to ensure that the use of LFR complies with the Equality Act 2010. Particular attention is needed in two respects: (a) the technical performance of the LFR system </w:t>
      </w:r>
      <w:r w:rsidR="00B17697" w:rsidRPr="00B17697">
        <w:rPr>
          <w:color w:val="000000" w:themeColor="text1"/>
        </w:rPr>
        <w:t>(and then, if performance varies by any particular demographic)</w:t>
      </w:r>
      <w:r w:rsidR="00B17697">
        <w:t xml:space="preserve">, and (b) the operational Deployment of the LFR system: </w:t>
      </w:r>
    </w:p>
    <w:p w14:paraId="1B5841C0" w14:textId="258C3AE6" w:rsidR="00B17697" w:rsidRPr="00935C24" w:rsidRDefault="00B17697" w:rsidP="00935C24">
      <w:pPr>
        <w:numPr>
          <w:ilvl w:val="0"/>
          <w:numId w:val="15"/>
        </w:numPr>
        <w:jc w:val="both"/>
        <w:rPr>
          <w:i/>
        </w:rPr>
      </w:pPr>
      <w:r>
        <w:rPr>
          <w:i/>
        </w:rPr>
        <w:lastRenderedPageBreak/>
        <w:t xml:space="preserve">The technical performance of the LFR system. </w:t>
      </w:r>
    </w:p>
    <w:p w14:paraId="23DF310D" w14:textId="5081123E" w:rsidR="00B17697" w:rsidRDefault="00B17697" w:rsidP="00B17697">
      <w:pPr>
        <w:pStyle w:val="ListParagraph"/>
        <w:ind w:left="851"/>
        <w:jc w:val="both"/>
      </w:pPr>
      <w:r w:rsidRPr="323A4EF9">
        <w:t xml:space="preserve">The Court of Appeal </w:t>
      </w:r>
      <w:r w:rsidRPr="003706C0">
        <w:rPr>
          <w:i/>
          <w:iCs/>
        </w:rPr>
        <w:t>Bridges</w:t>
      </w:r>
      <w:r w:rsidRPr="323A4EF9">
        <w:t xml:space="preserve"> decision makes it clear that the PSED requires </w:t>
      </w:r>
      <w:r w:rsidR="00644AB3">
        <w:t>HIOWC</w:t>
      </w:r>
      <w:r w:rsidRPr="323A4EF9">
        <w:t xml:space="preserve"> to</w:t>
      </w:r>
      <w:r w:rsidRPr="323A4EF9">
        <w:rPr>
          <w:b/>
          <w:bCs/>
        </w:rPr>
        <w:t xml:space="preserve"> </w:t>
      </w:r>
      <w:r w:rsidRPr="323A4EF9">
        <w:rPr>
          <w:u w:val="single"/>
        </w:rPr>
        <w:t>take reasonable steps to satisfy itself</w:t>
      </w:r>
      <w:r w:rsidRPr="323A4EF9">
        <w:t xml:space="preserve">, either </w:t>
      </w:r>
      <w:r w:rsidRPr="323A4EF9">
        <w:rPr>
          <w:u w:val="single"/>
        </w:rPr>
        <w:t>directly or by way of independent verification</w:t>
      </w:r>
      <w:r w:rsidRPr="323A4EF9">
        <w:t xml:space="preserve">, that the algorithm in this case does not have an </w:t>
      </w:r>
      <w:r w:rsidRPr="323A4EF9">
        <w:rPr>
          <w:u w:val="single"/>
        </w:rPr>
        <w:t>unacceptable bias</w:t>
      </w:r>
      <w:r w:rsidRPr="323A4EF9">
        <w:t xml:space="preserve"> on grounds of race or sex. </w:t>
      </w:r>
      <w:r>
        <w:t xml:space="preserve">To assist the public with understanding how </w:t>
      </w:r>
      <w:r w:rsidR="00644AB3">
        <w:t xml:space="preserve">HIOWC </w:t>
      </w:r>
      <w:r>
        <w:t xml:space="preserve">meets its PSED duties, </w:t>
      </w:r>
      <w:r w:rsidR="00644AB3">
        <w:t>HIOWC</w:t>
      </w:r>
      <w:r>
        <w:t xml:space="preserve"> </w:t>
      </w:r>
      <w:r w:rsidR="00644AB3">
        <w:t xml:space="preserve">will </w:t>
      </w:r>
      <w:r>
        <w:t xml:space="preserve">publish the </w:t>
      </w:r>
      <w:r w:rsidR="00644AB3">
        <w:t>HIOWC</w:t>
      </w:r>
      <w:r>
        <w:t xml:space="preserve"> LFR Equality Impact Assessment</w:t>
      </w:r>
      <w:r w:rsidR="00644AB3">
        <w:t xml:space="preserve"> and other elements of the HIOWC LFR Legal Framework</w:t>
      </w:r>
      <w:r>
        <w:t xml:space="preserve">. </w:t>
      </w:r>
      <w:r w:rsidR="004C403C">
        <w:t xml:space="preserve">HIOWC has also considered the published scientific assessments of the accuracy and efficacy of the </w:t>
      </w:r>
      <w:r w:rsidR="0040361E">
        <w:t xml:space="preserve">LFR system, including those by NIST and the National Physical Laboratory and this is addressed further in the </w:t>
      </w:r>
      <w:r w:rsidR="00A041FD">
        <w:t>HIOWC LFR DPIA</w:t>
      </w:r>
      <w:r w:rsidR="0040361E">
        <w:t xml:space="preserve">. </w:t>
      </w:r>
      <w:r w:rsidR="00A041FD">
        <w:t>In summary, however</w:t>
      </w:r>
      <w:r w:rsidRPr="323A4EF9">
        <w:t xml:space="preserve">: </w:t>
      </w:r>
    </w:p>
    <w:p w14:paraId="44699272" w14:textId="77777777" w:rsidR="00B17697" w:rsidRDefault="00B17697" w:rsidP="00B17697">
      <w:pPr>
        <w:pStyle w:val="ListParagraph"/>
        <w:ind w:left="851"/>
        <w:jc w:val="both"/>
      </w:pPr>
    </w:p>
    <w:p w14:paraId="2123E746" w14:textId="5F788F16" w:rsidR="00B17697" w:rsidRDefault="00B17697" w:rsidP="00346D0B">
      <w:pPr>
        <w:pStyle w:val="ListParagraph"/>
        <w:numPr>
          <w:ilvl w:val="0"/>
          <w:numId w:val="16"/>
        </w:numPr>
        <w:ind w:left="1134"/>
        <w:jc w:val="both"/>
      </w:pPr>
      <w:r w:rsidRPr="323A4EF9">
        <w:rPr>
          <w:b/>
          <w:bCs/>
        </w:rPr>
        <w:t xml:space="preserve">Independent evaluation: </w:t>
      </w:r>
      <w:r>
        <w:t xml:space="preserve">A number of studies highlight the varying performance of facial recognition algorithms and the potential for the performance of algorithms </w:t>
      </w:r>
      <w:r w:rsidR="00A041FD">
        <w:t xml:space="preserve">to </w:t>
      </w:r>
      <w:r>
        <w:t>vary depend</w:t>
      </w:r>
      <w:r w:rsidR="00A041FD">
        <w:t>e</w:t>
      </w:r>
      <w:r>
        <w:t xml:space="preserve">nt on demographic factors. </w:t>
      </w:r>
      <w:r w:rsidR="00A041FD">
        <w:t>HIOWC</w:t>
      </w:r>
      <w:r>
        <w:t xml:space="preserve"> has </w:t>
      </w:r>
      <w:r w:rsidR="00A041FD">
        <w:t>reviewed</w:t>
      </w:r>
      <w:r>
        <w:t xml:space="preserve"> the evaluations undertaken by the National Institute of Standards and Technology (NIST)</w:t>
      </w:r>
      <w:r w:rsidR="003706C0">
        <w:t>,</w:t>
      </w:r>
      <w:r>
        <w:t xml:space="preserve"> </w:t>
      </w:r>
      <w:r w:rsidR="003706C0">
        <w:t xml:space="preserve">which has </w:t>
      </w:r>
      <w:r>
        <w:t xml:space="preserve">evaluated circa 200 facial recognition algorithms for statistical accuracy and demographic performance, including those submitted by NEC – the provider used by </w:t>
      </w:r>
      <w:r w:rsidR="00126167">
        <w:t>HIOWC</w:t>
      </w:r>
      <w:r>
        <w:t xml:space="preserve">.   </w:t>
      </w:r>
      <w:r w:rsidR="00126167">
        <w:t xml:space="preserve">HIOWC has also considered </w:t>
      </w:r>
      <w:r w:rsidR="00512B8C">
        <w:t>the National Physical Laboratory (NPL)</w:t>
      </w:r>
      <w:r w:rsidR="00126167">
        <w:t xml:space="preserve">’s report detailing its </w:t>
      </w:r>
      <w:r w:rsidR="00512B8C">
        <w:t xml:space="preserve">scientifically underpinned evaluation of </w:t>
      </w:r>
      <w:r w:rsidR="00126167">
        <w:t xml:space="preserve">the </w:t>
      </w:r>
      <w:r w:rsidR="00512B8C">
        <w:t>LFR algorithm</w:t>
      </w:r>
      <w:r w:rsidR="00126167">
        <w:t xml:space="preserve"> to be deployed by HIOWC</w:t>
      </w:r>
      <w:r w:rsidR="00512B8C">
        <w:t xml:space="preserve"> in the operational environment and </w:t>
      </w:r>
      <w:r w:rsidR="00721C1B">
        <w:t xml:space="preserve">its accuracy including </w:t>
      </w:r>
      <w:r w:rsidR="00EB36A5">
        <w:t>in respect of individuals demonstrating different protected characteristics</w:t>
      </w:r>
      <w:r w:rsidR="00512B8C">
        <w:t xml:space="preserve">. </w:t>
      </w:r>
      <w:r w:rsidR="00EB36A5">
        <w:t>HIOWC</w:t>
      </w:r>
      <w:r w:rsidR="00512B8C">
        <w:t xml:space="preserve"> has then reflected the findings in the </w:t>
      </w:r>
      <w:r w:rsidR="00EB36A5">
        <w:t>HIOWC</w:t>
      </w:r>
      <w:r w:rsidR="00512B8C">
        <w:t xml:space="preserve"> LFR </w:t>
      </w:r>
      <w:r w:rsidR="009955C8">
        <w:t>Documents</w:t>
      </w:r>
      <w:r w:rsidR="00EB36A5">
        <w:t xml:space="preserve"> </w:t>
      </w:r>
      <w:r w:rsidR="00512B8C">
        <w:t>to inform its operational practice.</w:t>
      </w:r>
    </w:p>
    <w:p w14:paraId="796C2352" w14:textId="77777777" w:rsidR="00B17697" w:rsidRDefault="00B17697" w:rsidP="00B17697">
      <w:pPr>
        <w:pStyle w:val="ListParagraph"/>
        <w:ind w:left="809"/>
        <w:jc w:val="both"/>
      </w:pPr>
    </w:p>
    <w:p w14:paraId="4493F826" w14:textId="3DB9BB60" w:rsidR="00B17697" w:rsidRDefault="00B17697" w:rsidP="00346D0B">
      <w:pPr>
        <w:pStyle w:val="ListParagraph"/>
        <w:numPr>
          <w:ilvl w:val="0"/>
          <w:numId w:val="16"/>
        </w:numPr>
        <w:ind w:left="1134"/>
        <w:jc w:val="both"/>
        <w:rPr>
          <w:color w:val="000000" w:themeColor="text1"/>
        </w:rPr>
      </w:pPr>
      <w:r>
        <w:rPr>
          <w:b/>
        </w:rPr>
        <w:t xml:space="preserve">Ongoing assurance: </w:t>
      </w:r>
      <w:r w:rsidR="009955C8">
        <w:t>HIOWC</w:t>
      </w:r>
      <w:r>
        <w:t xml:space="preserve"> LFR Documents provide for ongoing evaluation and a</w:t>
      </w:r>
      <w:r>
        <w:rPr>
          <w:color w:val="000000" w:themeColor="text1"/>
        </w:rPr>
        <w:t xml:space="preserve"> post-deployment review process. This reflects the ongoing nature of the PSED duty and also offers </w:t>
      </w:r>
      <w:r w:rsidR="009955C8">
        <w:rPr>
          <w:color w:val="000000" w:themeColor="text1"/>
        </w:rPr>
        <w:t>HIOWC</w:t>
      </w:r>
      <w:r>
        <w:rPr>
          <w:color w:val="000000" w:themeColor="text1"/>
        </w:rPr>
        <w:t xml:space="preserve"> a chance to monitor for technical issues by reviewing all alerts, including any incorrect ones</w:t>
      </w:r>
      <w:r w:rsidR="009955C8">
        <w:rPr>
          <w:color w:val="000000" w:themeColor="text1"/>
        </w:rPr>
        <w:t>,</w:t>
      </w:r>
      <w:r>
        <w:rPr>
          <w:color w:val="000000" w:themeColor="text1"/>
        </w:rPr>
        <w:t xml:space="preserve"> and monitoring for trends. Should a concern be identified, </w:t>
      </w:r>
      <w:r w:rsidR="009955C8">
        <w:rPr>
          <w:color w:val="000000" w:themeColor="text1"/>
        </w:rPr>
        <w:t>HIOWC</w:t>
      </w:r>
      <w:r>
        <w:rPr>
          <w:color w:val="000000" w:themeColor="text1"/>
        </w:rPr>
        <w:t xml:space="preserve"> would then be in a position to explore that further and test for issues under the oversight and scrutiny of the </w:t>
      </w:r>
      <w:r w:rsidR="00016652" w:rsidRPr="00016652">
        <w:rPr>
          <w:color w:val="000000" w:themeColor="text1"/>
        </w:rPr>
        <w:t>Hampshire Constabulary Ethics Committee</w:t>
      </w:r>
      <w:r w:rsidR="00D60D38">
        <w:rPr>
          <w:color w:val="000000" w:themeColor="text1"/>
        </w:rPr>
        <w:t>,</w:t>
      </w:r>
      <w:r w:rsidR="00016652">
        <w:rPr>
          <w:color w:val="000000" w:themeColor="text1"/>
        </w:rPr>
        <w:t xml:space="preserve"> </w:t>
      </w:r>
      <w:r w:rsidR="00D60D38">
        <w:rPr>
          <w:color w:val="000000" w:themeColor="text1"/>
        </w:rPr>
        <w:t xml:space="preserve">HIOWC </w:t>
      </w:r>
      <w:r w:rsidR="00D60D38" w:rsidRPr="00D60D38">
        <w:rPr>
          <w:color w:val="000000" w:themeColor="text1"/>
        </w:rPr>
        <w:t>Force Strategic Independent Advisory Group</w:t>
      </w:r>
      <w:r w:rsidR="00D60D38">
        <w:rPr>
          <w:color w:val="000000" w:themeColor="text1"/>
        </w:rPr>
        <w:t xml:space="preserve">, the PCC and other relevant </w:t>
      </w:r>
      <w:r w:rsidR="00E76831">
        <w:rPr>
          <w:color w:val="000000" w:themeColor="text1"/>
        </w:rPr>
        <w:t>individuals/bodies.</w:t>
      </w:r>
      <w:r w:rsidR="00D60D38">
        <w:rPr>
          <w:color w:val="000000" w:themeColor="text1"/>
        </w:rPr>
        <w:t xml:space="preserve"> </w:t>
      </w:r>
      <w:r w:rsidR="00E76831">
        <w:rPr>
          <w:color w:val="000000" w:themeColor="text1"/>
        </w:rPr>
        <w:t>The use of LFR also falls within the remit of various regulators, including the I</w:t>
      </w:r>
      <w:r w:rsidR="005F46DC">
        <w:rPr>
          <w:color w:val="000000" w:themeColor="text1"/>
        </w:rPr>
        <w:t xml:space="preserve">OPC, the Information Commissioner and the Biometrics and Surveillance Camera Commissioner. </w:t>
      </w:r>
    </w:p>
    <w:p w14:paraId="0EF2CA45" w14:textId="77777777" w:rsidR="0090223D" w:rsidRDefault="0090223D" w:rsidP="0090223D">
      <w:pPr>
        <w:pStyle w:val="ListParagraph"/>
        <w:ind w:left="1866"/>
        <w:jc w:val="both"/>
        <w:rPr>
          <w:color w:val="000000" w:themeColor="text1"/>
        </w:rPr>
      </w:pPr>
    </w:p>
    <w:p w14:paraId="7BA3B147" w14:textId="77777777" w:rsidR="00B17697" w:rsidRDefault="00B17697" w:rsidP="00B17697">
      <w:pPr>
        <w:pStyle w:val="ListParagraph"/>
        <w:rPr>
          <w:color w:val="000000" w:themeColor="text1"/>
        </w:rPr>
      </w:pPr>
    </w:p>
    <w:p w14:paraId="51D4EB13" w14:textId="77777777" w:rsidR="00B17697" w:rsidRPr="00E14901" w:rsidRDefault="00B17697" w:rsidP="00E14901">
      <w:pPr>
        <w:pStyle w:val="ListParagraph"/>
        <w:numPr>
          <w:ilvl w:val="0"/>
          <w:numId w:val="15"/>
        </w:numPr>
        <w:jc w:val="both"/>
        <w:rPr>
          <w:i/>
        </w:rPr>
      </w:pPr>
      <w:r w:rsidRPr="00E14901">
        <w:rPr>
          <w:i/>
        </w:rPr>
        <w:t xml:space="preserve">The operational Deployment of the LFR system. </w:t>
      </w:r>
    </w:p>
    <w:p w14:paraId="704B2286" w14:textId="77777777" w:rsidR="00B17697" w:rsidRDefault="00B17697" w:rsidP="00B17697">
      <w:pPr>
        <w:pStyle w:val="ListParagraph"/>
        <w:ind w:left="809"/>
        <w:jc w:val="both"/>
      </w:pPr>
    </w:p>
    <w:p w14:paraId="17E6F17A" w14:textId="584254F9" w:rsidR="00B17697" w:rsidRDefault="005F46DC" w:rsidP="003706C0">
      <w:pPr>
        <w:pStyle w:val="ListParagraph"/>
        <w:ind w:left="809"/>
        <w:jc w:val="both"/>
      </w:pPr>
      <w:r>
        <w:t>HIOWC</w:t>
      </w:r>
      <w:r w:rsidR="00B17697">
        <w:t xml:space="preserve"> L</w:t>
      </w:r>
      <w:r w:rsidR="003706C0">
        <w:t>FR Documents recognise</w:t>
      </w:r>
      <w:r w:rsidR="00B17697">
        <w:t xml:space="preserve"> the Subject, System and Environmental Factors to ensure the LFR system is suitable for its intended use and operating correctly. Subject, System and Environmental Factors including aspects such as camera configuration, camera location, lighting conditions, the distance at which people will pass the LFR system</w:t>
      </w:r>
      <w:r w:rsidR="00397605">
        <w:t xml:space="preserve">, crowd flow levels in so far as this may result in occlusion (including by reference to the height of the subjects being sought) </w:t>
      </w:r>
      <w:r w:rsidR="00B17697">
        <w:t xml:space="preserve">and points relating to an individual’s age and appearance have been considered carefully in </w:t>
      </w:r>
      <w:r w:rsidR="000C7E59">
        <w:t>HIOWC</w:t>
      </w:r>
      <w:r w:rsidR="00B17697">
        <w:t xml:space="preserve"> LFR Documents to ensure the efficacy of the LFR system and the </w:t>
      </w:r>
      <w:r w:rsidR="0064553A">
        <w:t>HIOWC</w:t>
      </w:r>
      <w:r w:rsidR="00B17697">
        <w:t xml:space="preserve">’s compliance with its Equality Act 2010 duties.  </w:t>
      </w:r>
    </w:p>
    <w:p w14:paraId="11CA8341" w14:textId="77777777" w:rsidR="00B17697" w:rsidRDefault="00B17697" w:rsidP="00B17697">
      <w:pPr>
        <w:pStyle w:val="ListParagraph"/>
        <w:ind w:left="809"/>
        <w:jc w:val="both"/>
      </w:pPr>
    </w:p>
    <w:p w14:paraId="211A155B" w14:textId="5F85E956" w:rsidR="00B17697" w:rsidRDefault="00B17697" w:rsidP="00B17697">
      <w:pPr>
        <w:pStyle w:val="ListParagraph"/>
        <w:ind w:left="809"/>
        <w:jc w:val="both"/>
      </w:pPr>
      <w:r>
        <w:t xml:space="preserve">As a result of having taken reasonable steps to understand the statistical accuracy and demographic performance of the </w:t>
      </w:r>
      <w:r w:rsidR="0064553A">
        <w:t>HIOWC</w:t>
      </w:r>
      <w:r>
        <w:t xml:space="preserve"> LFR system and then in light of points relating to Subject, System and Environmental Factors,</w:t>
      </w:r>
      <w:r w:rsidR="000449C5">
        <w:t xml:space="preserve"> and the framework of safeguards implemented </w:t>
      </w:r>
      <w:r w:rsidR="000449C5">
        <w:lastRenderedPageBreak/>
        <w:t>as a result,</w:t>
      </w:r>
      <w:r>
        <w:t xml:space="preserve"> </w:t>
      </w:r>
      <w:r w:rsidR="00222862">
        <w:t>HIOWC</w:t>
      </w:r>
      <w:r>
        <w:t xml:space="preserve"> has adopted a ‘fail-safe’ position to ensure that </w:t>
      </w:r>
      <w:r w:rsidR="00AD3629">
        <w:t>(</w:t>
      </w:r>
      <w:r>
        <w:t>absent there being other lawful grounds to take policing action</w:t>
      </w:r>
      <w:r w:rsidR="00AD3629">
        <w:t>)</w:t>
      </w:r>
      <w:r>
        <w:t xml:space="preserve">: </w:t>
      </w:r>
    </w:p>
    <w:p w14:paraId="00B1F524" w14:textId="77777777" w:rsidR="00B17697" w:rsidRDefault="00B17697" w:rsidP="00B17697">
      <w:pPr>
        <w:pStyle w:val="ListParagraph"/>
      </w:pPr>
    </w:p>
    <w:p w14:paraId="46161894" w14:textId="7D1BF5A7" w:rsidR="00B17697" w:rsidRDefault="00397605" w:rsidP="00346D0B">
      <w:pPr>
        <w:pStyle w:val="ListParagraph"/>
        <w:ind w:left="851"/>
        <w:rPr>
          <w:b/>
        </w:rPr>
      </w:pPr>
      <w:r>
        <w:rPr>
          <w:b/>
        </w:rPr>
        <w:t>N</w:t>
      </w:r>
      <w:r w:rsidR="00B17697">
        <w:rPr>
          <w:b/>
        </w:rPr>
        <w:t xml:space="preserve">o Engagement will occur with a member of the public unless at least one officer has reviewed an LFR system potential match and reached their own opinion that there is a match between the member of the public and the Watchlist image.  </w:t>
      </w:r>
    </w:p>
    <w:p w14:paraId="58B9CFF0" w14:textId="77777777" w:rsidR="00B17697" w:rsidRDefault="00B17697" w:rsidP="00B17697">
      <w:pPr>
        <w:pStyle w:val="ListParagraph"/>
      </w:pPr>
    </w:p>
    <w:p w14:paraId="6B6B1E40" w14:textId="5007FD45" w:rsidR="00B17697" w:rsidRDefault="00B17697" w:rsidP="00B17697">
      <w:pPr>
        <w:pStyle w:val="ListParagraph"/>
        <w:ind w:left="809"/>
        <w:jc w:val="both"/>
      </w:pPr>
      <w:r>
        <w:t xml:space="preserve">This means the LFR system is not making any decision to </w:t>
      </w:r>
      <w:r w:rsidR="0039052F">
        <w:t>e</w:t>
      </w:r>
      <w:r>
        <w:t xml:space="preserve">ngage with the public, the officer is making this decision - just as officers make similar decisions to </w:t>
      </w:r>
      <w:r w:rsidR="0039052F">
        <w:t>e</w:t>
      </w:r>
      <w:r>
        <w:t xml:space="preserve">ngage with members of the public every day (without the support of LFR). The officer is best placed to make this decision, drawing on their training and policing experience. </w:t>
      </w:r>
    </w:p>
    <w:p w14:paraId="077464F4" w14:textId="77777777" w:rsidR="00B17697" w:rsidRDefault="00B17697" w:rsidP="00B17697">
      <w:pPr>
        <w:pStyle w:val="ListParagraph"/>
        <w:ind w:left="809"/>
        <w:jc w:val="both"/>
      </w:pPr>
    </w:p>
    <w:p w14:paraId="1751A71B" w14:textId="19E54FCA" w:rsidR="00B17697" w:rsidRDefault="00A94693" w:rsidP="00B17697">
      <w:pPr>
        <w:pStyle w:val="ListParagraph"/>
        <w:ind w:left="809"/>
        <w:jc w:val="both"/>
      </w:pPr>
      <w:r>
        <w:t>Similarly,</w:t>
      </w:r>
      <w:r w:rsidR="00B17697">
        <w:t xml:space="preserve"> the officer is best placed to consider the impact of any Subject, System and Environmental Factors which may have influenced the LFR system when it generated an </w:t>
      </w:r>
      <w:r w:rsidR="0039052F">
        <w:t>a</w:t>
      </w:r>
      <w:r w:rsidR="00B17697">
        <w:t xml:space="preserve">lert and if such factors combine to mean an </w:t>
      </w:r>
      <w:r w:rsidR="0039052F">
        <w:t>e</w:t>
      </w:r>
      <w:r w:rsidR="00B17697">
        <w:t xml:space="preserve">ngagement with a member of the public is not appropriate in the circumstances. </w:t>
      </w:r>
    </w:p>
    <w:p w14:paraId="32846EB5" w14:textId="430F944C" w:rsidR="00B17697" w:rsidRDefault="00B17697" w:rsidP="00B17697">
      <w:pPr>
        <w:ind w:left="851"/>
      </w:pPr>
      <w:r>
        <w:rPr>
          <w:noProof/>
          <w:lang w:eastAsia="en-GB"/>
        </w:rPr>
        <mc:AlternateContent>
          <mc:Choice Requires="wps">
            <w:drawing>
              <wp:inline distT="0" distB="0" distL="0" distR="0" wp14:anchorId="302FCB5C" wp14:editId="7DB926B9">
                <wp:extent cx="5208270" cy="1235710"/>
                <wp:effectExtent l="9525" t="9525" r="11430" b="12065"/>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8270" cy="1235710"/>
                        </a:xfrm>
                        <a:prstGeom prst="rect">
                          <a:avLst/>
                        </a:prstGeom>
                        <a:solidFill>
                          <a:schemeClr val="bg1">
                            <a:lumMod val="95000"/>
                            <a:lumOff val="0"/>
                          </a:schemeClr>
                        </a:solidFill>
                        <a:ln w="9525">
                          <a:solidFill>
                            <a:srgbClr val="002060"/>
                          </a:solidFill>
                          <a:miter lim="800000"/>
                          <a:headEnd/>
                          <a:tailEnd/>
                        </a:ln>
                      </wps:spPr>
                      <wps:txbx>
                        <w:txbxContent>
                          <w:p w14:paraId="776A8367" w14:textId="7510C9F3" w:rsidR="002A5F5C" w:rsidRDefault="002A5F5C" w:rsidP="00B17697">
                            <w:pPr>
                              <w:pStyle w:val="ListParagraph"/>
                              <w:ind w:left="0"/>
                            </w:pPr>
                            <w:r>
                              <w:rPr>
                                <w:b/>
                              </w:rPr>
                              <w:t>Authorising Officers</w:t>
                            </w:r>
                            <w:r>
                              <w:t xml:space="preserve">: In order to ensure that the officer is best able to make an informed decision on any </w:t>
                            </w:r>
                            <w:r w:rsidR="0039052F">
                              <w:t>e</w:t>
                            </w:r>
                            <w:r>
                              <w:t xml:space="preserve">ngagement, all officers who are part of an LFR Deployment are to have been briefed on the operation of the LFR system. This includes Subject, System and Environmental Factors that can impact performance.  LFR Engagement Officers should also have been given training relating to unconscious bias given their key role in the </w:t>
                            </w:r>
                            <w:r w:rsidR="0039052F">
                              <w:t>e</w:t>
                            </w:r>
                            <w:r>
                              <w:t xml:space="preserve">ngagement decision making process. </w:t>
                            </w:r>
                          </w:p>
                          <w:p w14:paraId="4C3FFADB" w14:textId="77777777" w:rsidR="002A5F5C" w:rsidRDefault="002A5F5C" w:rsidP="00B17697">
                            <w:pPr>
                              <w:spacing w:after="0"/>
                              <w:jc w:val="both"/>
                            </w:pPr>
                          </w:p>
                          <w:p w14:paraId="4D8787E3" w14:textId="77777777" w:rsidR="002A5F5C" w:rsidRDefault="002A5F5C" w:rsidP="00B17697">
                            <w:pPr>
                              <w:jc w:val="both"/>
                            </w:pPr>
                          </w:p>
                          <w:p w14:paraId="6374F19E" w14:textId="77777777" w:rsidR="002A5F5C" w:rsidRDefault="002A5F5C" w:rsidP="00B17697">
                            <w:pPr>
                              <w:pStyle w:val="ListParagraph"/>
                              <w:ind w:left="0"/>
                              <w:jc w:val="both"/>
                            </w:pPr>
                          </w:p>
                          <w:p w14:paraId="186638A8" w14:textId="77777777" w:rsidR="002A5F5C" w:rsidRDefault="002A5F5C" w:rsidP="00B17697">
                            <w:pPr>
                              <w:jc w:val="both"/>
                            </w:pPr>
                          </w:p>
                          <w:p w14:paraId="24983AFB" w14:textId="77777777" w:rsidR="002A5F5C" w:rsidRDefault="002A5F5C" w:rsidP="00B17697">
                            <w:pPr>
                              <w:rPr>
                                <w:color w:val="002060"/>
                              </w:rPr>
                            </w:pPr>
                          </w:p>
                        </w:txbxContent>
                      </wps:txbx>
                      <wps:bodyPr rot="0" vert="horz" wrap="square" lIns="91440" tIns="45720" rIns="91440" bIns="45720" anchor="t" anchorCtr="0" upright="1">
                        <a:noAutofit/>
                      </wps:bodyPr>
                    </wps:wsp>
                  </a:graphicData>
                </a:graphic>
              </wp:inline>
            </w:drawing>
          </mc:Choice>
          <mc:Fallback>
            <w:pict>
              <v:shape w14:anchorId="302FCB5C" id="Text Box 12" o:spid="_x0000_s1028" type="#_x0000_t202" style="width:410.1pt;height:9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NnCPAIAAGkEAAAOAAAAZHJzL2Uyb0RvYy54bWysVNtu2zAMfR+wfxD0vtjxkiYx4hRdug4D&#10;ugvQ7QNkWbaFyaImKbGzrx8lO2m6vQ17EURSPiQPD729HTpFjsI6Cbqg81lKidAcKqmbgn7/9vBm&#10;TYnzTFdMgRYFPQlHb3evX217k4sMWlCVsARBtMt7U9DWe5MnieOt6JibgREagzXYjnk0bZNUlvWI&#10;3qkkS9ObpAdbGQtcOIfe+zFIdxG/rgX3X+raCU9UQbE2H08bzzKcyW7L8sYy00o+lcH+oYqOSY1J&#10;L1D3zDNysPIvqE5yCw5qP+PQJVDXkovYA3YzT//o5qllRsRekBxnLjS5/wfLPx+fzFdL/PAOBhxg&#10;bMKZR+A/HNGwb5luxJ210LeCVZh4HihLeuPy6dNAtctdACn7T1DhkNnBQwQaatsFVrBPgug4gNOF&#10;dDF4wtG5zNJ1tsIQx9g8e7tczeNYEpafPzfW+Q8COhIuBbU41QjPjo/Oh3JYfn4SsjlQsnqQSkUj&#10;KEnslSVHhhoom7FFdeiw1tG3WabppAR0o15G97mKqMWAEBO9AFea9AXdLLPlyNuLxLYpL2nTNEtv&#10;LoDXzzrpcQGU7Aq6xjLOhQS23+sqytMzqcY7Nqr0RH9gfOTeD+VAZFXQLMwmTKOE6oTzsDDqHfcT&#10;Ly3YX5T0qPWCup8HZgUl6qPGmW7mi0VYjmgslqsMDXsdKa8jTHOEKqinZLzu/bhQB2Nl02KmkWIN&#10;d6iDWsYJPVc1lY96jnxOuxcW5tqOr57/ELvfAAAA//8DAFBLAwQUAAYACAAAACEAC6DGMNoAAAAF&#10;AQAADwAAAGRycy9kb3ducmV2LnhtbEyPwUrDQBCG74LvsIzgzW6MNbQxmyJCe1OwWvQ4zY5JMDsb&#10;sps0vr2jF70MDP/PN98Um9l1aqIhtJ4NXC8SUMSVty3XBl5ftlcrUCEiW+w8k4EvCrApz88KzK0/&#10;8TNN+1grgXDI0UATY59rHaqGHIaF74kl+/CDwyjrUGs74EngrtNpkmTaYctyocGeHhqqPvejM5Du&#10;bnc3T2+P2zp7F8K4PEzr8WDM5cV8fwcq0hz/yvCjL+pQitPRj2yD6gzII/F3SrZKkxTUUUrrZQa6&#10;LPR/+/IbAAD//wMAUEsBAi0AFAAGAAgAAAAhALaDOJL+AAAA4QEAABMAAAAAAAAAAAAAAAAAAAAA&#10;AFtDb250ZW50X1R5cGVzXS54bWxQSwECLQAUAAYACAAAACEAOP0h/9YAAACUAQAACwAAAAAAAAAA&#10;AAAAAAAvAQAAX3JlbHMvLnJlbHNQSwECLQAUAAYACAAAACEAtbTZwjwCAABpBAAADgAAAAAAAAAA&#10;AAAAAAAuAgAAZHJzL2Uyb0RvYy54bWxQSwECLQAUAAYACAAAACEAC6DGMNoAAAAFAQAADwAAAAAA&#10;AAAAAAAAAACWBAAAZHJzL2Rvd25yZXYueG1sUEsFBgAAAAAEAAQA8wAAAJ0FAAAAAA==&#10;" fillcolor="#f2f2f2 [3052]" strokecolor="#002060">
                <v:textbox>
                  <w:txbxContent>
                    <w:p w14:paraId="776A8367" w14:textId="7510C9F3" w:rsidR="002A5F5C" w:rsidRDefault="002A5F5C" w:rsidP="00B17697">
                      <w:pPr>
                        <w:pStyle w:val="ListParagraph"/>
                        <w:ind w:left="0"/>
                      </w:pPr>
                      <w:r>
                        <w:rPr>
                          <w:b/>
                        </w:rPr>
                        <w:t>Authorising Officers</w:t>
                      </w:r>
                      <w:r>
                        <w:t xml:space="preserve">: In order to ensure that the officer is best able to make an informed decision on any </w:t>
                      </w:r>
                      <w:r w:rsidR="0039052F">
                        <w:t>e</w:t>
                      </w:r>
                      <w:r>
                        <w:t xml:space="preserve">ngagement, all officers who are part of an LFR Deployment are to have been briefed on the operation of the LFR system. This includes Subject, System and Environmental Factors that can impact performance.  LFR Engagement Officers should also have been given training relating to unconscious bias given their key role in the </w:t>
                      </w:r>
                      <w:r w:rsidR="0039052F">
                        <w:t>e</w:t>
                      </w:r>
                      <w:r>
                        <w:t xml:space="preserve">ngagement decision making process. </w:t>
                      </w:r>
                    </w:p>
                    <w:p w14:paraId="4C3FFADB" w14:textId="77777777" w:rsidR="002A5F5C" w:rsidRDefault="002A5F5C" w:rsidP="00B17697">
                      <w:pPr>
                        <w:spacing w:after="0"/>
                        <w:jc w:val="both"/>
                      </w:pPr>
                    </w:p>
                    <w:p w14:paraId="4D8787E3" w14:textId="77777777" w:rsidR="002A5F5C" w:rsidRDefault="002A5F5C" w:rsidP="00B17697">
                      <w:pPr>
                        <w:jc w:val="both"/>
                      </w:pPr>
                    </w:p>
                    <w:p w14:paraId="6374F19E" w14:textId="77777777" w:rsidR="002A5F5C" w:rsidRDefault="002A5F5C" w:rsidP="00B17697">
                      <w:pPr>
                        <w:pStyle w:val="ListParagraph"/>
                        <w:ind w:left="0"/>
                        <w:jc w:val="both"/>
                      </w:pPr>
                    </w:p>
                    <w:p w14:paraId="186638A8" w14:textId="77777777" w:rsidR="002A5F5C" w:rsidRDefault="002A5F5C" w:rsidP="00B17697">
                      <w:pPr>
                        <w:jc w:val="both"/>
                      </w:pPr>
                    </w:p>
                    <w:p w14:paraId="24983AFB" w14:textId="77777777" w:rsidR="002A5F5C" w:rsidRDefault="002A5F5C" w:rsidP="00B17697">
                      <w:pPr>
                        <w:rPr>
                          <w:color w:val="002060"/>
                        </w:rPr>
                      </w:pPr>
                    </w:p>
                  </w:txbxContent>
                </v:textbox>
                <w10:anchorlock/>
              </v:shape>
            </w:pict>
          </mc:Fallback>
        </mc:AlternateContent>
      </w:r>
    </w:p>
    <w:p w14:paraId="1D97DC90" w14:textId="422EA145" w:rsidR="00B17697" w:rsidRDefault="00B17697" w:rsidP="000E35B7">
      <w:pPr>
        <w:pStyle w:val="ListParagraph"/>
        <w:keepNext/>
        <w:ind w:left="809"/>
        <w:jc w:val="both"/>
      </w:pPr>
      <w:r>
        <w:t xml:space="preserve">Beyond Subject, System and Environmental factors, </w:t>
      </w:r>
      <w:r w:rsidR="000E35B7">
        <w:t>HIOWC</w:t>
      </w:r>
      <w:r>
        <w:t xml:space="preserve"> personnel are also familiar with managing the PSED requirement whilst undertaking policing activities from a number of other crime fighting techniques, for example, ‘stop and search’. In this respect, it is important that the use of LFR is driven from the need to meet a legitimate aim, such as the prevention of crime and disorder. The Equality Impact Assessment and, where relevant, the Community Impact Assessment</w:t>
      </w:r>
      <w:r w:rsidR="000E35B7">
        <w:t>,</w:t>
      </w:r>
      <w:r>
        <w:t xml:space="preserve"> inform</w:t>
      </w:r>
      <w:r w:rsidR="000E35B7">
        <w:t xml:space="preserve"> </w:t>
      </w:r>
      <w:r>
        <w:t xml:space="preserve">the policing plan to support the Deployment of LFR to mean </w:t>
      </w:r>
      <w:r w:rsidR="000E35B7">
        <w:t>HIOWC</w:t>
      </w:r>
      <w:r>
        <w:t xml:space="preserve"> upholds the Public Sector Equality Duty. Compliance with the Equality Impact Assessment </w:t>
      </w:r>
      <w:r w:rsidR="0015753F">
        <w:t>will</w:t>
      </w:r>
      <w:r>
        <w:t xml:space="preserve"> then be monitored and reviewed for the duration of that Deployment. </w:t>
      </w:r>
    </w:p>
    <w:p w14:paraId="45D713D7" w14:textId="7BFDB2B5" w:rsidR="0015753F" w:rsidRPr="004858D7" w:rsidRDefault="0015753F" w:rsidP="1699BAB1">
      <w:pPr>
        <w:pStyle w:val="Heading1"/>
        <w:ind w:left="425" w:hanging="425"/>
        <w:rPr>
          <w:rFonts w:eastAsiaTheme="minorEastAsia"/>
          <w:sz w:val="28"/>
          <w:szCs w:val="28"/>
        </w:rPr>
      </w:pPr>
      <w:bookmarkStart w:id="31" w:name="_Toc27085363"/>
      <w:bookmarkStart w:id="32" w:name="_Toc86660216"/>
      <w:r w:rsidRPr="1699BAB1">
        <w:rPr>
          <w:rFonts w:eastAsiaTheme="minorEastAsia"/>
          <w:sz w:val="28"/>
          <w:szCs w:val="28"/>
        </w:rPr>
        <w:t>DATA PROTECTION ACT 2018</w:t>
      </w:r>
      <w:bookmarkEnd w:id="31"/>
      <w:bookmarkEnd w:id="32"/>
      <w:r w:rsidR="00585E2D" w:rsidRPr="1699BAB1">
        <w:rPr>
          <w:rFonts w:eastAsiaTheme="minorEastAsia"/>
          <w:sz w:val="28"/>
          <w:szCs w:val="28"/>
        </w:rPr>
        <w:t xml:space="preserve"> </w:t>
      </w:r>
    </w:p>
    <w:p w14:paraId="3C523BB4" w14:textId="2885FB54" w:rsidR="00D1648A" w:rsidRDefault="00266243" w:rsidP="00D1648A">
      <w:pPr>
        <w:numPr>
          <w:ilvl w:val="1"/>
          <w:numId w:val="4"/>
        </w:numPr>
        <w:tabs>
          <w:tab w:val="num" w:pos="360"/>
        </w:tabs>
        <w:ind w:left="426" w:hanging="426"/>
        <w:jc w:val="both"/>
      </w:pPr>
      <w:r>
        <w:t xml:space="preserve"> </w:t>
      </w:r>
      <w:r w:rsidR="009B77A6">
        <w:t>HIOWC</w:t>
      </w:r>
      <w:r w:rsidR="0015753F">
        <w:t xml:space="preserve"> processes personal data for LFR ‘based on law’</w:t>
      </w:r>
      <w:r w:rsidR="00D62EC3">
        <w:t>,</w:t>
      </w:r>
      <w:r w:rsidR="0015753F">
        <w:t xml:space="preserve"> specifically its legal powers identified </w:t>
      </w:r>
      <w:r w:rsidR="009B77A6">
        <w:t>at</w:t>
      </w:r>
      <w:r w:rsidR="0015753F">
        <w:t xml:space="preserve"> common law</w:t>
      </w:r>
      <w:r w:rsidR="00D62EC3">
        <w:t>, its rights and obligations as established in the Data Protection Act 2018,</w:t>
      </w:r>
      <w:r w:rsidR="0015753F">
        <w:t xml:space="preserve"> as well as human rights and equality considerations as outlined in this Legal Mandate, and the policies put in place by </w:t>
      </w:r>
      <w:r w:rsidR="00D62EC3">
        <w:t>HIOWC</w:t>
      </w:r>
      <w:r w:rsidR="0015753F">
        <w:t xml:space="preserve"> LFR Documents. The Appropriate Policy Document and other </w:t>
      </w:r>
      <w:r w:rsidR="00D62EC3">
        <w:t>HIOWC</w:t>
      </w:r>
      <w:r w:rsidR="003706C0">
        <w:t xml:space="preserve"> </w:t>
      </w:r>
      <w:r w:rsidR="0015753F">
        <w:t xml:space="preserve">LFR Documents published by the </w:t>
      </w:r>
      <w:r w:rsidR="00D62EC3">
        <w:t>HIOWC</w:t>
      </w:r>
      <w:r w:rsidR="0015753F">
        <w:t xml:space="preserve"> as a public body allows the public passing an LFR system and those who may be placed on a Watchlist to understand the standards </w:t>
      </w:r>
      <w:r w:rsidR="00D62EC3">
        <w:t>HIOWC</w:t>
      </w:r>
      <w:r w:rsidR="0015753F">
        <w:t xml:space="preserve"> operates to, including setting out the authorisation process and requirements to deploy LFR, details about where LFR may be used, and the considerations and constraints relevant as to who may be placed on an LFR </w:t>
      </w:r>
      <w:r w:rsidR="0039052F">
        <w:t>w</w:t>
      </w:r>
      <w:r w:rsidR="0015753F">
        <w:t xml:space="preserve">atchlist. </w:t>
      </w:r>
    </w:p>
    <w:p w14:paraId="10A3B083" w14:textId="5D293E70" w:rsidR="00D1648A" w:rsidRDefault="00D1648A" w:rsidP="00D1648A">
      <w:pPr>
        <w:numPr>
          <w:ilvl w:val="1"/>
          <w:numId w:val="4"/>
        </w:numPr>
        <w:tabs>
          <w:tab w:val="num" w:pos="360"/>
        </w:tabs>
        <w:ind w:left="426" w:hanging="426"/>
        <w:jc w:val="both"/>
      </w:pPr>
      <w:r>
        <w:t xml:space="preserve"> For the purposes of preventing crime and disorder, Part 3, Data Protection Act 2018 (DPA) regulates the processing of personal data, including sensitive processing, whether processed on a computer, CCTV, still images or other media. Any recorded image from a device which can identify a particular person is ‘personal data’. The DPA therefore applies to the processing of data </w:t>
      </w:r>
      <w:r>
        <w:lastRenderedPageBreak/>
        <w:t xml:space="preserve">for LFR both in terms of locating those on a </w:t>
      </w:r>
      <w:r w:rsidR="0039052F">
        <w:t>w</w:t>
      </w:r>
      <w:r>
        <w:t xml:space="preserve">atchlist but also in terms of processing biometric information of members of the public to confirm they are not on a </w:t>
      </w:r>
      <w:r w:rsidR="0039052F">
        <w:t>w</w:t>
      </w:r>
      <w:r>
        <w:t>atchlist. These actions are covered by the processing of data for law enforcement purposes, as defined in s.31 DPA:</w:t>
      </w:r>
    </w:p>
    <w:p w14:paraId="72B75C71" w14:textId="77777777" w:rsidR="00D1648A" w:rsidRDefault="00D1648A" w:rsidP="00D1648A">
      <w:pPr>
        <w:ind w:left="720"/>
        <w:rPr>
          <w:i/>
        </w:rPr>
      </w:pPr>
      <w:r>
        <w:rPr>
          <w:i/>
        </w:rPr>
        <w:t>“For the purposes of this Part, "the law enforcement purposes" are the purposes of the prevention, investigation, detection or prosecution of criminal offences or the execution of criminal penalties, including the safeguarding against and the prevention of threats to public security.”</w:t>
      </w:r>
    </w:p>
    <w:p w14:paraId="7F62467F" w14:textId="519DEE79" w:rsidR="00D1648A" w:rsidRDefault="00D1648A" w:rsidP="00D1648A">
      <w:pPr>
        <w:ind w:left="426"/>
      </w:pPr>
      <w:r>
        <w:rPr>
          <w:noProof/>
          <w:lang w:eastAsia="en-GB"/>
        </w:rPr>
        <mc:AlternateContent>
          <mc:Choice Requires="wps">
            <w:drawing>
              <wp:inline distT="0" distB="0" distL="0" distR="0" wp14:anchorId="2F88ADA5" wp14:editId="5C3E004A">
                <wp:extent cx="5446395" cy="1205230"/>
                <wp:effectExtent l="9525" t="9525" r="11430" b="13970"/>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205230"/>
                        </a:xfrm>
                        <a:prstGeom prst="rect">
                          <a:avLst/>
                        </a:prstGeom>
                        <a:solidFill>
                          <a:schemeClr val="bg1">
                            <a:lumMod val="95000"/>
                            <a:lumOff val="0"/>
                          </a:schemeClr>
                        </a:solidFill>
                        <a:ln w="9525">
                          <a:solidFill>
                            <a:srgbClr val="002060"/>
                          </a:solidFill>
                          <a:miter lim="800000"/>
                          <a:headEnd/>
                          <a:tailEnd/>
                        </a:ln>
                      </wps:spPr>
                      <wps:txbx>
                        <w:txbxContent>
                          <w:p w14:paraId="5D215BA8" w14:textId="7ED0EF82" w:rsidR="002A5F5C" w:rsidRDefault="002A5F5C" w:rsidP="00A36D73">
                            <w:pPr>
                              <w:shd w:val="clear" w:color="auto" w:fill="FFFFFF" w:themeFill="background1"/>
                              <w:jc w:val="both"/>
                            </w:pPr>
                            <w:r>
                              <w:rPr>
                                <w:b/>
                              </w:rPr>
                              <w:t>Authorising Officers</w:t>
                            </w:r>
                            <w:r>
                              <w:t xml:space="preserve">: Authorising Officers already need be satisfied of the necessity to use LFR to prevent crime and disorder and ensure public safety in the context of the Human Rights Act 1998. Similarly, to satisfy Section 35(5) DPA, they need to be content that the LFR system’s processing of biometric data is </w:t>
                            </w:r>
                            <w:r>
                              <w:rPr>
                                <w:u w:val="single"/>
                              </w:rPr>
                              <w:t>strictly necessary</w:t>
                            </w:r>
                            <w:r>
                              <w:t xml:space="preserve"> for the law enforcement purpose. The law enforcement purpose should be clearly identified and the way in which the strictly necessary standard has been met explained. </w:t>
                            </w:r>
                          </w:p>
                          <w:p w14:paraId="63C6254E" w14:textId="77777777" w:rsidR="002A5F5C" w:rsidRDefault="002A5F5C" w:rsidP="00D1648A">
                            <w:pPr>
                              <w:jc w:val="both"/>
                            </w:pPr>
                          </w:p>
                          <w:p w14:paraId="4392030B" w14:textId="77777777" w:rsidR="002A5F5C" w:rsidRDefault="002A5F5C" w:rsidP="00D1648A">
                            <w:pPr>
                              <w:rPr>
                                <w:color w:val="002060"/>
                              </w:rPr>
                            </w:pPr>
                          </w:p>
                        </w:txbxContent>
                      </wps:txbx>
                      <wps:bodyPr rot="0" vert="horz" wrap="square" lIns="91440" tIns="45720" rIns="91440" bIns="45720" anchor="t" anchorCtr="0" upright="1">
                        <a:noAutofit/>
                      </wps:bodyPr>
                    </wps:wsp>
                  </a:graphicData>
                </a:graphic>
              </wp:inline>
            </w:drawing>
          </mc:Choice>
          <mc:Fallback>
            <w:pict>
              <v:shape w14:anchorId="2F88ADA5" id="Text Box 15" o:spid="_x0000_s1029" type="#_x0000_t202" style="width:428.85pt;height:9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CgePQIAAGkEAAAOAAAAZHJzL2Uyb0RvYy54bWysVNtu2zAMfR+wfxD0vthx4qwx4hRdug4D&#10;ugvQ7QNkWbaFyaImKbGzrx8lJ2m6vQ17EURSPiQPD725HXtFDsI6Cbqk81lKidAcaqnbkn7/9vDm&#10;hhLnma6ZAi1KehSO3m5fv9oMphAZdKBqYQmCaFcMpqSd96ZIEsc70TM3AyM0BhuwPfNo2japLRsQ&#10;vVdJlqarZABbGwtcOIfe+ylItxG/aQT3X5rGCU9USbE2H08bzyqcyXbDitYy00l+KoP9QxU9kxqT&#10;XqDumWdkb+VfUL3kFhw0fsahT6BpJBexB+xmnv7RzVPHjIi9IDnOXGhy/w+Wfz48ma+W+PEdjDjA&#10;2IQzj8B/OKJh1zHdijtrYegEqzHxPFCWDMYVp08D1a5wAaQaPkGNQ2Z7DxFobGwfWME+CaLjAI4X&#10;0sXoCUdnvlyuFuucEo6xeZbm2SKOJWHF+XNjnf8goCfhUlKLU43w7PDofCiHFecnIZsDJesHqVQ0&#10;gpLETllyYKiBqp1aVPsea5186zxNT0pAN+plcp+riFoMCDHRC3ClyVDSdZ7lE28vEtu2uqRN0yxd&#10;XQCvn/XS4wIo2Zf0Bss4FxLYfq/rKE/PpJru2KjSJ/oD4xP3fqxGIuuSLsJswjQqqI84DwuT3nE/&#10;8dKB/UXJgFovqfu5Z1ZQoj5qnOl6vlyG5YjGMn+boWGvI9V1hGmOUCX1lEzXnZ8Wam+sbDvMNFGs&#10;4Q510Mg4oeeqTuWjniOfp90LC3Ntx1fPf4jtbwAAAP//AwBQSwMEFAAGAAgAAAAhAEKaFs3bAAAA&#10;BQEAAA8AAABkcnMvZG93bnJldi54bWxMj8FKw0AQhu+C77CM4M1urLZNYzZFhPamYLXocZodk2B2&#10;NmQ3aXx7Ry96GRj+n2++yTeTa9VIfWg8G7ieJaCIS28brgy8vmyvUlAhIltsPZOBLwqwKc7Pcsys&#10;P/EzjftYKYFwyNBAHWOXaR3KmhyGme+IJfvwvcMoa19p2+NJ4K7V8yRZaocNy4UaO3qoqfzcD87A&#10;fLfY3Ty9PW6r5bsQhtvDuB4OxlxeTPd3oCJN8a8MP/qiDoU4Hf3ANqjWgDwSf6dk6WK1AnWUUrpO&#10;QRe5/m9ffAMAAP//AwBQSwECLQAUAAYACAAAACEAtoM4kv4AAADhAQAAEwAAAAAAAAAAAAAAAAAA&#10;AAAAW0NvbnRlbnRfVHlwZXNdLnhtbFBLAQItABQABgAIAAAAIQA4/SH/1gAAAJQBAAALAAAAAAAA&#10;AAAAAAAAAC8BAABfcmVscy8ucmVsc1BLAQItABQABgAIAAAAIQDR8CgePQIAAGkEAAAOAAAAAAAA&#10;AAAAAAAAAC4CAABkcnMvZTJvRG9jLnhtbFBLAQItABQABgAIAAAAIQBCmhbN2wAAAAUBAAAPAAAA&#10;AAAAAAAAAAAAAJcEAABkcnMvZG93bnJldi54bWxQSwUGAAAAAAQABADzAAAAnwUAAAAA&#10;" fillcolor="#f2f2f2 [3052]" strokecolor="#002060">
                <v:textbox>
                  <w:txbxContent>
                    <w:p w14:paraId="5D215BA8" w14:textId="7ED0EF82" w:rsidR="002A5F5C" w:rsidRDefault="002A5F5C" w:rsidP="00A36D73">
                      <w:pPr>
                        <w:shd w:val="clear" w:color="auto" w:fill="FFFFFF" w:themeFill="background1"/>
                        <w:jc w:val="both"/>
                      </w:pPr>
                      <w:r>
                        <w:rPr>
                          <w:b/>
                        </w:rPr>
                        <w:t>Authorising Officers</w:t>
                      </w:r>
                      <w:r>
                        <w:t xml:space="preserve">: Authorising Officers already need be satisfied of the necessity to use LFR to prevent crime and disorder and ensure public safety in the context of the Human Rights Act 1998. Similarly, to satisfy Section 35(5) DPA, they need to be content that the LFR system’s processing of biometric data is </w:t>
                      </w:r>
                      <w:r>
                        <w:rPr>
                          <w:u w:val="single"/>
                        </w:rPr>
                        <w:t>strictly necessary</w:t>
                      </w:r>
                      <w:r>
                        <w:t xml:space="preserve"> for the law enforcement purpose. The law enforcement purpose should be clearly identified and the way in which the strictly necessary standard has been met explained. </w:t>
                      </w:r>
                    </w:p>
                    <w:p w14:paraId="63C6254E" w14:textId="77777777" w:rsidR="002A5F5C" w:rsidRDefault="002A5F5C" w:rsidP="00D1648A">
                      <w:pPr>
                        <w:jc w:val="both"/>
                      </w:pPr>
                    </w:p>
                    <w:p w14:paraId="4392030B" w14:textId="77777777" w:rsidR="002A5F5C" w:rsidRDefault="002A5F5C" w:rsidP="00D1648A">
                      <w:pPr>
                        <w:rPr>
                          <w:color w:val="002060"/>
                        </w:rPr>
                      </w:pPr>
                    </w:p>
                  </w:txbxContent>
                </v:textbox>
                <w10:anchorlock/>
              </v:shape>
            </w:pict>
          </mc:Fallback>
        </mc:AlternateContent>
      </w:r>
    </w:p>
    <w:p w14:paraId="78376241" w14:textId="77777777" w:rsidR="00D1648A" w:rsidRDefault="00D1648A" w:rsidP="00346D0B">
      <w:pPr>
        <w:numPr>
          <w:ilvl w:val="2"/>
          <w:numId w:val="18"/>
        </w:numPr>
        <w:ind w:left="1276" w:hanging="383"/>
        <w:jc w:val="both"/>
      </w:pPr>
      <w:r>
        <w:rPr>
          <w:u w:val="single"/>
        </w:rPr>
        <w:t>Strictly necessary</w:t>
      </w:r>
      <w:r>
        <w:t xml:space="preserve"> in this context means that the processing has to relate to a pressing social need, and it is not reasonably viable to address this through less intrusive means. Any personal data collected via LFR is not used in a manner that is contrary to the identified law enforcement purpose. </w:t>
      </w:r>
    </w:p>
    <w:p w14:paraId="7FC15C02" w14:textId="77777777" w:rsidR="00D1648A" w:rsidRDefault="00D1648A" w:rsidP="00D1648A">
      <w:pPr>
        <w:pStyle w:val="ListParagraph"/>
        <w:ind w:left="809"/>
        <w:jc w:val="both"/>
      </w:pPr>
    </w:p>
    <w:p w14:paraId="37F3B76E" w14:textId="467F45FB" w:rsidR="00D1648A" w:rsidRDefault="00D1648A" w:rsidP="00D1648A">
      <w:pPr>
        <w:pStyle w:val="ListParagraph"/>
        <w:ind w:left="809"/>
        <w:jc w:val="both"/>
      </w:pPr>
      <w:r>
        <w:rPr>
          <w:noProof/>
          <w:lang w:eastAsia="en-GB"/>
        </w:rPr>
        <mc:AlternateContent>
          <mc:Choice Requires="wps">
            <w:drawing>
              <wp:inline distT="0" distB="0" distL="0" distR="0" wp14:anchorId="297A6B95" wp14:editId="10848216">
                <wp:extent cx="5462270" cy="3419475"/>
                <wp:effectExtent l="9525" t="9525" r="5080" b="9525"/>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2270" cy="3419475"/>
                        </a:xfrm>
                        <a:prstGeom prst="rect">
                          <a:avLst/>
                        </a:prstGeom>
                        <a:solidFill>
                          <a:srgbClr val="FFFFFF"/>
                        </a:solidFill>
                        <a:ln w="9525">
                          <a:solidFill>
                            <a:srgbClr val="000000"/>
                          </a:solidFill>
                          <a:miter lim="800000"/>
                          <a:headEnd/>
                          <a:tailEnd/>
                        </a:ln>
                      </wps:spPr>
                      <wps:txbx>
                        <w:txbxContent>
                          <w:p w14:paraId="538B9170" w14:textId="77777777" w:rsidR="002A5F5C" w:rsidRDefault="002A5F5C" w:rsidP="00D1648A">
                            <w:pPr>
                              <w:spacing w:after="0"/>
                              <w:jc w:val="both"/>
                            </w:pPr>
                            <w:r>
                              <w:rPr>
                                <w:b/>
                              </w:rPr>
                              <w:t>Example: alternative policing methods to prevent threats to public security</w:t>
                            </w:r>
                            <w:r>
                              <w:t>: LFR may be deployed to police a high profile well-attended public event. When considering alternatives, in this example, other measures such as extra CCTV may be considered. However they will not always be a viable less intrusive alternative in the circumstances. For example:</w:t>
                            </w:r>
                          </w:p>
                          <w:p w14:paraId="2C576ABA" w14:textId="7A133823" w:rsidR="002A5F5C" w:rsidRDefault="002A5F5C" w:rsidP="00D1648A">
                            <w:pPr>
                              <w:pStyle w:val="ListParagraph"/>
                              <w:numPr>
                                <w:ilvl w:val="0"/>
                                <w:numId w:val="18"/>
                              </w:numPr>
                              <w:spacing w:after="0"/>
                              <w:jc w:val="both"/>
                            </w:pPr>
                            <w:r>
                              <w:t xml:space="preserve">Whilst CCTV can help ensure event safety, it lacks the ability to actively </w:t>
                            </w:r>
                            <w:r w:rsidR="0039052F">
                              <w:t>a</w:t>
                            </w:r>
                            <w:r>
                              <w:t>lert officers to the potential presence of individuals of interest to them.</w:t>
                            </w:r>
                          </w:p>
                          <w:p w14:paraId="30A630C5" w14:textId="77777777" w:rsidR="002A5F5C" w:rsidRDefault="002A5F5C" w:rsidP="00D1648A">
                            <w:pPr>
                              <w:pStyle w:val="ListParagraph"/>
                              <w:numPr>
                                <w:ilvl w:val="0"/>
                                <w:numId w:val="18"/>
                              </w:numPr>
                              <w:spacing w:after="0"/>
                              <w:jc w:val="both"/>
                            </w:pPr>
                            <w:r>
                              <w:t xml:space="preserve">It may not be practical to expect officers to recognise larger numbers of people of interest to the Police given the nature and scale of the event, the numbers of officers available to police the event and the flow rate and number of people passing the CCTV system. This is especially relevant where the importance of making such identifications supports the use of a more suitable alternative such as LFR. </w:t>
                            </w:r>
                          </w:p>
                          <w:p w14:paraId="72A9CF2E" w14:textId="4E5D957E" w:rsidR="002A5F5C" w:rsidRDefault="002A5F5C" w:rsidP="00D1648A">
                            <w:pPr>
                              <w:pStyle w:val="ListParagraph"/>
                              <w:numPr>
                                <w:ilvl w:val="0"/>
                                <w:numId w:val="18"/>
                              </w:numPr>
                              <w:spacing w:after="0"/>
                              <w:jc w:val="both"/>
                            </w:pPr>
                            <w:r>
                              <w:t xml:space="preserve">Where LFR is thought to offer further important protection to the public as opposed to other policing methods. For example, this may apply where the law enforcement purposes for a </w:t>
                            </w:r>
                            <w:r w:rsidR="0039052F">
                              <w:t>d</w:t>
                            </w:r>
                            <w:r>
                              <w:t xml:space="preserve">eployment include wider public safety considerations. These may include the need to locate those wanted by the courts. Such persons may attend such a high-profile event and, in line with the decision of the courts to require their arrest, pose a risk to the public generally.  </w:t>
                            </w:r>
                          </w:p>
                          <w:p w14:paraId="777DFAD7" w14:textId="77777777" w:rsidR="002A5F5C" w:rsidRDefault="002A5F5C" w:rsidP="00D1648A">
                            <w:r>
                              <w:t xml:space="preserve"> </w:t>
                            </w:r>
                          </w:p>
                        </w:txbxContent>
                      </wps:txbx>
                      <wps:bodyPr rot="0" vert="horz" wrap="square" lIns="91440" tIns="45720" rIns="91440" bIns="45720" anchor="t" anchorCtr="0" upright="1">
                        <a:noAutofit/>
                      </wps:bodyPr>
                    </wps:wsp>
                  </a:graphicData>
                </a:graphic>
              </wp:inline>
            </w:drawing>
          </mc:Choice>
          <mc:Fallback>
            <w:pict>
              <v:shape w14:anchorId="297A6B95" id="Text Box 14" o:spid="_x0000_s1030" type="#_x0000_t202" style="width:430.1pt;height:26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IzWHAIAADMEAAAOAAAAZHJzL2Uyb0RvYy54bWysU9uO2yAQfa/Uf0C8N05cZ7Ox4qy22aaq&#10;tL1I234AxthGxQwFEjv9+h2wN5veXqrygBgGzsycObO5GTpFjsI6Cbqgi9mcEqE5VFI3Bf36Zf/q&#10;mhLnma6YAi0KehKO3mxfvtj0JhcptKAqYQmCaJf3pqCt9yZPEsdb0TE3AyM0OmuwHfNo2iapLOsR&#10;vVNJOp9fJT3Yyljgwjm8vRuddBvx61pw/6munfBEFRRz83G3cS/Dnmw3LG8sM63kUxrsH7LomNQY&#10;9Ax1xzwjByt/g+okt+Cg9jMOXQJ1LbmINWA1i/kv1Ty0zIhYC5LjzJkm9/9g+cfjg/lsiR/ewIAN&#10;jEU4cw/8myMadi3Tjbi1FvpWsAoDLwJlSW9cPn0NVLvcBZCy/wAVNpkdPESgobZdYAXrJIiODTid&#10;SReDJxwvl9lVmq7QxdH3Oluss9UyxmD503djnX8noCPhUFCLXY3w7HjvfEiH5U9PQjQHSlZ7qVQ0&#10;bFPulCVHhgrYxzWh//RMadIXdL1MlyMDf4WYx/UniE56lLKSXUGvz49YHnh7q6soNM+kGs+YstIT&#10;kYG7kUU/lAORVUGzECDwWkJ1QmYtjMrFScNDC/YHJT2qtqDu+4FZQYl6r7E760WWBZlHI1uuUjTs&#10;pae89DDNEaqgnpLxuPPjaByMlU2LkUY9aLjFjtYycv2c1ZQ+KjO2YJqiIP1LO756nvXtIwAAAP//&#10;AwBQSwMEFAAGAAgAAAAhAKkNr1/dAAAABQEAAA8AAABkcnMvZG93bnJldi54bWxMj8FOwzAQRO9I&#10;/IO1SFwQdWhpCCFOhZBA9AYFwdWNt0mEvQ72Ng1/j+ECl5VGM5p5W60mZ8WIIfaeFFzMMhBIjTc9&#10;tQpeX+7PCxCRNRltPaGCL4ywqo+PKl0af6BnHDfcilRCsdQKOuahlDI2HTodZ35ASt7OB6c5ydBK&#10;E/QhlTsr51mWS6d7SgudHvCuw+Zjs3cKisvH8T2uF09vTb6z13x2NT58BqVOT6bbGxCME/+F4Qc/&#10;oUOdmLZ+TyYKqyA9wr83eUWezUFsFSwXxRJkXcn/9PU3AAAA//8DAFBLAQItABQABgAIAAAAIQC2&#10;gziS/gAAAOEBAAATAAAAAAAAAAAAAAAAAAAAAABbQ29udGVudF9UeXBlc10ueG1sUEsBAi0AFAAG&#10;AAgAAAAhADj9If/WAAAAlAEAAAsAAAAAAAAAAAAAAAAALwEAAF9yZWxzLy5yZWxzUEsBAi0AFAAG&#10;AAgAAAAhAPvgjNYcAgAAMwQAAA4AAAAAAAAAAAAAAAAALgIAAGRycy9lMm9Eb2MueG1sUEsBAi0A&#10;FAAGAAgAAAAhAKkNr1/dAAAABQEAAA8AAAAAAAAAAAAAAAAAdgQAAGRycy9kb3ducmV2LnhtbFBL&#10;BQYAAAAABAAEAPMAAACABQAAAAA=&#10;">
                <v:textbox>
                  <w:txbxContent>
                    <w:p w14:paraId="538B9170" w14:textId="77777777" w:rsidR="002A5F5C" w:rsidRDefault="002A5F5C" w:rsidP="00D1648A">
                      <w:pPr>
                        <w:spacing w:after="0"/>
                        <w:jc w:val="both"/>
                      </w:pPr>
                      <w:r>
                        <w:rPr>
                          <w:b/>
                        </w:rPr>
                        <w:t>Example: alternative policing methods to prevent threats to public security</w:t>
                      </w:r>
                      <w:r>
                        <w:t>: LFR may be deployed to police a high profile well-attended public event. When considering alternatives, in this example, other measures such as extra CCTV may be considered. However they will not always be a viable less intrusive alternative in the circumstances. For example:</w:t>
                      </w:r>
                    </w:p>
                    <w:p w14:paraId="2C576ABA" w14:textId="7A133823" w:rsidR="002A5F5C" w:rsidRDefault="002A5F5C" w:rsidP="00D1648A">
                      <w:pPr>
                        <w:pStyle w:val="ListParagraph"/>
                        <w:numPr>
                          <w:ilvl w:val="0"/>
                          <w:numId w:val="18"/>
                        </w:numPr>
                        <w:spacing w:after="0"/>
                        <w:jc w:val="both"/>
                      </w:pPr>
                      <w:r>
                        <w:t xml:space="preserve">Whilst CCTV can help ensure event safety, it lacks the ability to actively </w:t>
                      </w:r>
                      <w:r w:rsidR="0039052F">
                        <w:t>a</w:t>
                      </w:r>
                      <w:r>
                        <w:t>lert officers to the potential presence of individuals of interest to them.</w:t>
                      </w:r>
                    </w:p>
                    <w:p w14:paraId="30A630C5" w14:textId="77777777" w:rsidR="002A5F5C" w:rsidRDefault="002A5F5C" w:rsidP="00D1648A">
                      <w:pPr>
                        <w:pStyle w:val="ListParagraph"/>
                        <w:numPr>
                          <w:ilvl w:val="0"/>
                          <w:numId w:val="18"/>
                        </w:numPr>
                        <w:spacing w:after="0"/>
                        <w:jc w:val="both"/>
                      </w:pPr>
                      <w:r>
                        <w:t xml:space="preserve">It may not be practical to expect officers to recognise larger numbers of people of interest to the Police given the nature and scale of the event, the numbers of officers available to police the event and the flow rate and number of people passing the CCTV system. This is especially relevant where the importance of making such identifications supports the use of a more suitable alternative such as LFR. </w:t>
                      </w:r>
                    </w:p>
                    <w:p w14:paraId="72A9CF2E" w14:textId="4E5D957E" w:rsidR="002A5F5C" w:rsidRDefault="002A5F5C" w:rsidP="00D1648A">
                      <w:pPr>
                        <w:pStyle w:val="ListParagraph"/>
                        <w:numPr>
                          <w:ilvl w:val="0"/>
                          <w:numId w:val="18"/>
                        </w:numPr>
                        <w:spacing w:after="0"/>
                        <w:jc w:val="both"/>
                      </w:pPr>
                      <w:r>
                        <w:t xml:space="preserve">Where LFR is thought to offer further important protection to the public as opposed to other policing methods. For example, this may apply where the law enforcement purposes for a </w:t>
                      </w:r>
                      <w:r w:rsidR="0039052F">
                        <w:t>d</w:t>
                      </w:r>
                      <w:r>
                        <w:t xml:space="preserve">eployment include wider public safety considerations. These may include the need to locate those wanted by the courts. Such persons may attend such a high-profile event and, in line with the decision of the courts to require their arrest, pose a risk to the public generally.  </w:t>
                      </w:r>
                    </w:p>
                    <w:p w14:paraId="777DFAD7" w14:textId="77777777" w:rsidR="002A5F5C" w:rsidRDefault="002A5F5C" w:rsidP="00D1648A">
                      <w:r>
                        <w:t xml:space="preserve"> </w:t>
                      </w:r>
                    </w:p>
                  </w:txbxContent>
                </v:textbox>
                <w10:anchorlock/>
              </v:shape>
            </w:pict>
          </mc:Fallback>
        </mc:AlternateContent>
      </w:r>
    </w:p>
    <w:p w14:paraId="1BD0D6CC" w14:textId="77777777" w:rsidR="00D1648A" w:rsidRDefault="00D1648A" w:rsidP="00D1648A">
      <w:pPr>
        <w:pStyle w:val="ListParagraph"/>
        <w:ind w:left="809"/>
        <w:jc w:val="both"/>
      </w:pPr>
    </w:p>
    <w:p w14:paraId="35CD0FCD" w14:textId="77777777" w:rsidR="00D1648A" w:rsidRDefault="00D1648A" w:rsidP="00346D0B">
      <w:pPr>
        <w:numPr>
          <w:ilvl w:val="2"/>
          <w:numId w:val="18"/>
        </w:numPr>
        <w:ind w:left="1276" w:hanging="383"/>
        <w:jc w:val="both"/>
      </w:pPr>
      <w:r>
        <w:t xml:space="preserve">The ‘strictly necessary’ standard may be informed by the Authorising Officer considering factors including: </w:t>
      </w:r>
    </w:p>
    <w:p w14:paraId="16E3EE16" w14:textId="0E5627DE" w:rsidR="00D1648A" w:rsidRDefault="00D1648A" w:rsidP="00346D0B">
      <w:pPr>
        <w:numPr>
          <w:ilvl w:val="3"/>
          <w:numId w:val="18"/>
        </w:numPr>
        <w:ind w:left="1985"/>
        <w:jc w:val="both"/>
      </w:pPr>
      <w:r>
        <w:t xml:space="preserve">what </w:t>
      </w:r>
      <w:r w:rsidRPr="311B0108">
        <w:rPr>
          <w:u w:val="single"/>
        </w:rPr>
        <w:t>other policing methods</w:t>
      </w:r>
      <w:r>
        <w:t xml:space="preserve"> have been used / discounted when seeking to locate an individual(s) on the </w:t>
      </w:r>
      <w:r w:rsidR="0039052F">
        <w:t>w</w:t>
      </w:r>
      <w:r>
        <w:t>atchlist or to provide a series of tailored security measures;</w:t>
      </w:r>
    </w:p>
    <w:p w14:paraId="413187D3" w14:textId="2F51BC2A" w:rsidR="00D1648A" w:rsidRDefault="00D1648A" w:rsidP="00346D0B">
      <w:pPr>
        <w:numPr>
          <w:ilvl w:val="3"/>
          <w:numId w:val="18"/>
        </w:numPr>
        <w:ind w:left="1985"/>
        <w:jc w:val="both"/>
      </w:pPr>
      <w:r>
        <w:lastRenderedPageBreak/>
        <w:t xml:space="preserve">the </w:t>
      </w:r>
      <w:r w:rsidRPr="311B0108">
        <w:rPr>
          <w:u w:val="single"/>
        </w:rPr>
        <w:t>importance of achieving the law enforcement purpose</w:t>
      </w:r>
      <w:r>
        <w:t xml:space="preserve"> and the </w:t>
      </w:r>
      <w:r w:rsidRPr="311B0108">
        <w:rPr>
          <w:u w:val="single"/>
        </w:rPr>
        <w:t>prospects of achieving the law enforcement purpose</w:t>
      </w:r>
      <w:r>
        <w:t xml:space="preserve"> through the </w:t>
      </w:r>
      <w:r w:rsidR="0039052F">
        <w:t>d</w:t>
      </w:r>
      <w:r>
        <w:t xml:space="preserve">eployment of LFR at the proposed location with the proposed </w:t>
      </w:r>
      <w:r w:rsidR="0039052F">
        <w:t>w</w:t>
      </w:r>
      <w:r>
        <w:t xml:space="preserve">atchlist (for example, is the </w:t>
      </w:r>
      <w:r w:rsidR="0039052F">
        <w:t>d</w:t>
      </w:r>
      <w:r>
        <w:t>eployment intelligence-led or otherwise supported by information which confirms that LFR can be expected to get results in the circumstances being contemplated);</w:t>
      </w:r>
    </w:p>
    <w:p w14:paraId="24348E95" w14:textId="30766AE8" w:rsidR="00D1648A" w:rsidRDefault="00D1648A" w:rsidP="00346D0B">
      <w:pPr>
        <w:numPr>
          <w:ilvl w:val="3"/>
          <w:numId w:val="18"/>
        </w:numPr>
        <w:ind w:left="1985"/>
        <w:jc w:val="both"/>
        <w:rPr>
          <w:i/>
          <w:iCs/>
        </w:rPr>
      </w:pPr>
      <w:r>
        <w:t xml:space="preserve">the </w:t>
      </w:r>
      <w:r w:rsidRPr="311B0108">
        <w:rPr>
          <w:u w:val="single"/>
        </w:rPr>
        <w:t xml:space="preserve">size and scale of the planned LFR Deployment and associated </w:t>
      </w:r>
      <w:r w:rsidR="0039052F" w:rsidRPr="311B0108">
        <w:rPr>
          <w:u w:val="single"/>
        </w:rPr>
        <w:t>w</w:t>
      </w:r>
      <w:r w:rsidRPr="311B0108">
        <w:rPr>
          <w:u w:val="single"/>
        </w:rPr>
        <w:t>atchlist</w:t>
      </w:r>
      <w:r>
        <w:t xml:space="preserve"> and the level of sensitive processing anticipated as a result of the LFR Deployment; </w:t>
      </w:r>
      <w:r w:rsidRPr="311B0108">
        <w:rPr>
          <w:i/>
          <w:iCs/>
        </w:rPr>
        <w:t>and</w:t>
      </w:r>
    </w:p>
    <w:p w14:paraId="0F4EB74F" w14:textId="49A48F3B" w:rsidR="00D1648A" w:rsidRDefault="00D1648A" w:rsidP="00346D0B">
      <w:pPr>
        <w:numPr>
          <w:ilvl w:val="3"/>
          <w:numId w:val="18"/>
        </w:numPr>
        <w:ind w:left="1985"/>
        <w:jc w:val="both"/>
      </w:pPr>
      <w:r w:rsidRPr="311B0108">
        <w:rPr>
          <w:u w:val="single"/>
        </w:rPr>
        <w:t>if the law enforcement purpose which underpins the use of LFR is strictly necessary and proportionate</w:t>
      </w:r>
      <w:r>
        <w:t xml:space="preserve"> to the need to undertake sensitive processing and the risk to individuals’ rights this entails (subject to the protections and safeguards implemented).  </w:t>
      </w:r>
    </w:p>
    <w:p w14:paraId="59DB089F" w14:textId="77777777" w:rsidR="00D1648A" w:rsidRDefault="00D1648A" w:rsidP="00D1648A">
      <w:pPr>
        <w:pStyle w:val="ListParagraph"/>
        <w:ind w:left="2126"/>
        <w:jc w:val="both"/>
      </w:pPr>
    </w:p>
    <w:p w14:paraId="42E69B12" w14:textId="77777777" w:rsidR="00D1648A" w:rsidRDefault="00D1648A" w:rsidP="00D1648A">
      <w:pPr>
        <w:pStyle w:val="ListParagraph"/>
        <w:ind w:left="426"/>
        <w:jc w:val="both"/>
      </w:pPr>
    </w:p>
    <w:p w14:paraId="23D7DD2E" w14:textId="66541F93" w:rsidR="00D1648A" w:rsidRDefault="00D1648A" w:rsidP="00D1648A">
      <w:pPr>
        <w:pStyle w:val="ListParagraph"/>
        <w:ind w:left="426"/>
        <w:jc w:val="both"/>
      </w:pPr>
      <w:r>
        <w:rPr>
          <w:noProof/>
          <w:lang w:eastAsia="en-GB"/>
        </w:rPr>
        <mc:AlternateContent>
          <mc:Choice Requires="wps">
            <w:drawing>
              <wp:inline distT="0" distB="0" distL="0" distR="0" wp14:anchorId="587E0865" wp14:editId="2A505185">
                <wp:extent cx="5462270" cy="636270"/>
                <wp:effectExtent l="9525" t="9525" r="5080" b="11430"/>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2270" cy="636270"/>
                        </a:xfrm>
                        <a:prstGeom prst="rect">
                          <a:avLst/>
                        </a:prstGeom>
                        <a:solidFill>
                          <a:schemeClr val="bg1">
                            <a:lumMod val="95000"/>
                            <a:lumOff val="0"/>
                          </a:schemeClr>
                        </a:solidFill>
                        <a:ln w="9525">
                          <a:solidFill>
                            <a:srgbClr val="002060"/>
                          </a:solidFill>
                          <a:miter lim="800000"/>
                          <a:headEnd/>
                          <a:tailEnd/>
                        </a:ln>
                      </wps:spPr>
                      <wps:txbx>
                        <w:txbxContent>
                          <w:p w14:paraId="370CEFEF" w14:textId="44A6049E" w:rsidR="002A5F5C" w:rsidRDefault="002A5F5C" w:rsidP="00CB622B">
                            <w:pPr>
                              <w:shd w:val="clear" w:color="auto" w:fill="FFFFFF" w:themeFill="background1"/>
                              <w:jc w:val="both"/>
                            </w:pPr>
                            <w:r>
                              <w:rPr>
                                <w:b/>
                              </w:rPr>
                              <w:t>Authorising Officers</w:t>
                            </w:r>
                            <w:r>
                              <w:t xml:space="preserve">: Authorising Officers need to be satisfied that the processing </w:t>
                            </w:r>
                            <w:r>
                              <w:rPr>
                                <w:u w:val="single"/>
                              </w:rPr>
                              <w:t>satisfies one of the Schedule 8 conditions</w:t>
                            </w:r>
                            <w:r>
                              <w:t xml:space="preserve"> set out below and complies with the six data protection principles.</w:t>
                            </w:r>
                          </w:p>
                          <w:p w14:paraId="065D77F9" w14:textId="77777777" w:rsidR="002A5F5C" w:rsidRDefault="002A5F5C" w:rsidP="00D1648A">
                            <w:pPr>
                              <w:jc w:val="both"/>
                            </w:pPr>
                          </w:p>
                          <w:p w14:paraId="4AD03E42" w14:textId="77777777" w:rsidR="002A5F5C" w:rsidRDefault="002A5F5C" w:rsidP="00D1648A">
                            <w:pPr>
                              <w:jc w:val="both"/>
                            </w:pPr>
                          </w:p>
                          <w:p w14:paraId="31F149A9" w14:textId="77777777" w:rsidR="002A5F5C" w:rsidRDefault="002A5F5C" w:rsidP="00D1648A">
                            <w:pPr>
                              <w:rPr>
                                <w:color w:val="002060"/>
                              </w:rPr>
                            </w:pPr>
                          </w:p>
                        </w:txbxContent>
                      </wps:txbx>
                      <wps:bodyPr rot="0" vert="horz" wrap="square" lIns="91440" tIns="45720" rIns="91440" bIns="45720" anchor="t" anchorCtr="0" upright="1">
                        <a:noAutofit/>
                      </wps:bodyPr>
                    </wps:wsp>
                  </a:graphicData>
                </a:graphic>
              </wp:inline>
            </w:drawing>
          </mc:Choice>
          <mc:Fallback>
            <w:pict>
              <v:shape w14:anchorId="587E0865" id="Text Box 13" o:spid="_x0000_s1031" type="#_x0000_t202" style="width:430.1pt;height:5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vmSOAIAAGgEAAAOAAAAZHJzL2Uyb0RvYy54bWysVNtu2zAMfR+wfxD0vtjxkrQx4hRdug4D&#10;ugvQ7QNkWbaFyaImKbG7rx8lJWm6vQ17EShSPiQPD725mQZFDsI6Cbqi81lOidAcGqm7in7/dv/m&#10;mhLnmW6YAi0q+iQcvdm+frUZTSkK6EE1whIE0a4cTUV7702ZZY73YmBuBkZoDLZgB+bxarussWxE&#10;9EFlRZ6vshFsYyxw4Rx671KQbiN+2wruv7StE56oimJtPp42nnU4s+2GlZ1lppf8WAb7hyoGJjUm&#10;PUPdMc/I3sq/oAbJLTho/YzDkEHbSi5iD9jNPP+jm8eeGRF7QXKcOdPk/h8s/3x4NF8t8dM7mHCA&#10;sQlnHoD/cETDrme6E7fWwtgL1mDieaAsG40rj58Gql3pAkg9foIGh8z2HiLQ1NohsIJ9EkTHATyd&#10;SReTJxydy8WqKK4wxDG2ersKdkjBytPXxjr/QcBAglFRi0ON6Ozw4Hx6enoSkjlQsrmXSsVLEJLY&#10;KUsODCVQd6lDtR+w1ORbL/P8KAR0o1yS+1RFlGJAiDW9AFeajBVdL4tlou1FYtvV57R5XuSrM+Dl&#10;s0F61L+SQ0WvsYxTIYHs97qJ6vRMqmQjJ0of2Q+EJ+r9VE9ENshk4C0Mo4bmCcdhIckd1xONHuwv&#10;SkaUekXdzz2zghL1UeNI1/PFIuxGvCyWVwVe7GWkvowwzRGqop6SZO582qe9sbLrMVOiWMMtyqCV&#10;cULPVR3LRzlHPo+rF/bl8h5fPf8gtr8BAAD//wMAUEsDBBQABgAIAAAAIQB4QOjc2wAAAAUBAAAP&#10;AAAAZHJzL2Rvd25yZXYueG1sTI/NTsMwEITvSLyDtZW4UbsBojaNUyGk9gYS/REc3XhJIuJ1FDtp&#10;eHsWLnBZ7WpGs9/km8m1YsQ+NJ40LOYKBFLpbUOVhuNhe7sEEaIha1pPqOELA2yK66vcZNZf6BXH&#10;fawEh1DIjIY6xi6TMpQ1OhPmvkNi7cP3zkQ++0ra3lw43LUyUSqVzjTEH2rT4VON5ed+cBqS3cPu&#10;7uXteVul75ww3J/G1XDS+mY2Pa5BRJzinxl+8BkdCmY6+4FsEK0GLhJ/J2vLVCUgzmxSvMgil//p&#10;i28AAAD//wMAUEsBAi0AFAAGAAgAAAAhALaDOJL+AAAA4QEAABMAAAAAAAAAAAAAAAAAAAAAAFtD&#10;b250ZW50X1R5cGVzXS54bWxQSwECLQAUAAYACAAAACEAOP0h/9YAAACUAQAACwAAAAAAAAAAAAAA&#10;AAAvAQAAX3JlbHMvLnJlbHNQSwECLQAUAAYACAAAACEA86L5kjgCAABoBAAADgAAAAAAAAAAAAAA&#10;AAAuAgAAZHJzL2Uyb0RvYy54bWxQSwECLQAUAAYACAAAACEAeEDo3NsAAAAFAQAADwAAAAAAAAAA&#10;AAAAAACSBAAAZHJzL2Rvd25yZXYueG1sUEsFBgAAAAAEAAQA8wAAAJoFAAAAAA==&#10;" fillcolor="#f2f2f2 [3052]" strokecolor="#002060">
                <v:textbox>
                  <w:txbxContent>
                    <w:p w14:paraId="370CEFEF" w14:textId="44A6049E" w:rsidR="002A5F5C" w:rsidRDefault="002A5F5C" w:rsidP="00CB622B">
                      <w:pPr>
                        <w:shd w:val="clear" w:color="auto" w:fill="FFFFFF" w:themeFill="background1"/>
                        <w:jc w:val="both"/>
                      </w:pPr>
                      <w:r>
                        <w:rPr>
                          <w:b/>
                        </w:rPr>
                        <w:t>Authorising Officers</w:t>
                      </w:r>
                      <w:r>
                        <w:t xml:space="preserve">: Authorising Officers need to be satisfied that the processing </w:t>
                      </w:r>
                      <w:r>
                        <w:rPr>
                          <w:u w:val="single"/>
                        </w:rPr>
                        <w:t>satisfies one of the Schedule 8 conditions</w:t>
                      </w:r>
                      <w:r>
                        <w:t xml:space="preserve"> set out below and complies with the six data protection principles.</w:t>
                      </w:r>
                    </w:p>
                    <w:p w14:paraId="065D77F9" w14:textId="77777777" w:rsidR="002A5F5C" w:rsidRDefault="002A5F5C" w:rsidP="00D1648A">
                      <w:pPr>
                        <w:jc w:val="both"/>
                      </w:pPr>
                    </w:p>
                    <w:p w14:paraId="4AD03E42" w14:textId="77777777" w:rsidR="002A5F5C" w:rsidRDefault="002A5F5C" w:rsidP="00D1648A">
                      <w:pPr>
                        <w:jc w:val="both"/>
                      </w:pPr>
                    </w:p>
                    <w:p w14:paraId="31F149A9" w14:textId="77777777" w:rsidR="002A5F5C" w:rsidRDefault="002A5F5C" w:rsidP="00D1648A">
                      <w:pPr>
                        <w:rPr>
                          <w:color w:val="002060"/>
                        </w:rPr>
                      </w:pPr>
                    </w:p>
                  </w:txbxContent>
                </v:textbox>
                <w10:anchorlock/>
              </v:shape>
            </w:pict>
          </mc:Fallback>
        </mc:AlternateContent>
      </w:r>
    </w:p>
    <w:p w14:paraId="2B4CE6CF" w14:textId="77777777" w:rsidR="00D1648A" w:rsidRDefault="00D1648A" w:rsidP="00D1648A">
      <w:pPr>
        <w:pStyle w:val="ListParagraph"/>
        <w:ind w:left="426"/>
        <w:jc w:val="both"/>
      </w:pPr>
    </w:p>
    <w:p w14:paraId="5CDC514B" w14:textId="379E5F30" w:rsidR="007761CE" w:rsidRDefault="00536486" w:rsidP="007761CE">
      <w:pPr>
        <w:numPr>
          <w:ilvl w:val="1"/>
          <w:numId w:val="4"/>
        </w:numPr>
        <w:tabs>
          <w:tab w:val="num" w:pos="360"/>
        </w:tabs>
        <w:ind w:left="426" w:hanging="426"/>
        <w:jc w:val="both"/>
      </w:pPr>
      <w:r>
        <w:t xml:space="preserve">It is anticipated that the processing of sensitive personal data in the context of an LFR deployment will engage one or more of the following </w:t>
      </w:r>
      <w:r w:rsidR="007761CE">
        <w:t>Schedule 8 condition</w:t>
      </w:r>
      <w:r w:rsidR="003A3699">
        <w:t>s</w:t>
      </w:r>
      <w:r w:rsidR="007761CE">
        <w:t xml:space="preserve"> of the DPA:</w:t>
      </w:r>
    </w:p>
    <w:p w14:paraId="2F0F4B51" w14:textId="4F3A227D" w:rsidR="0024655B" w:rsidRDefault="00431BAA" w:rsidP="00554838">
      <w:pPr>
        <w:pStyle w:val="ListParagraph"/>
        <w:numPr>
          <w:ilvl w:val="1"/>
          <w:numId w:val="20"/>
        </w:numPr>
        <w:ind w:hanging="567"/>
        <w:jc w:val="both"/>
      </w:pPr>
      <w:r w:rsidRPr="00431BAA">
        <w:t>necessary for the exercise of a function conferred on a person by an enactment or rule of law</w:t>
      </w:r>
      <w:r w:rsidR="00554838">
        <w:t xml:space="preserve"> for reasons of substantial public interest; </w:t>
      </w:r>
    </w:p>
    <w:p w14:paraId="07EBC725" w14:textId="77777777" w:rsidR="007761CE" w:rsidRDefault="007761CE" w:rsidP="007761CE">
      <w:pPr>
        <w:pStyle w:val="ListParagraph"/>
        <w:numPr>
          <w:ilvl w:val="1"/>
          <w:numId w:val="20"/>
        </w:numPr>
        <w:ind w:hanging="567"/>
        <w:jc w:val="both"/>
      </w:pPr>
      <w:r>
        <w:t>necessary for the administration of justice;</w:t>
      </w:r>
    </w:p>
    <w:p w14:paraId="7B439DC5" w14:textId="77777777" w:rsidR="007761CE" w:rsidRDefault="007761CE" w:rsidP="007761CE">
      <w:pPr>
        <w:pStyle w:val="ListParagraph"/>
        <w:numPr>
          <w:ilvl w:val="1"/>
          <w:numId w:val="20"/>
        </w:numPr>
        <w:ind w:hanging="567"/>
        <w:jc w:val="both"/>
      </w:pPr>
      <w:r>
        <w:t>necessary to protect the vital interests of the data subject or another individual;</w:t>
      </w:r>
    </w:p>
    <w:p w14:paraId="0305CD6F" w14:textId="77777777" w:rsidR="00234DF5" w:rsidRDefault="007761CE" w:rsidP="00536486">
      <w:pPr>
        <w:pStyle w:val="ListParagraph"/>
        <w:numPr>
          <w:ilvl w:val="1"/>
          <w:numId w:val="20"/>
        </w:numPr>
        <w:ind w:hanging="567"/>
        <w:jc w:val="both"/>
      </w:pPr>
      <w:r>
        <w:t>necessary for the safeguarding of children and of individuals at risk</w:t>
      </w:r>
      <w:r w:rsidR="00234DF5">
        <w:t xml:space="preserve">; </w:t>
      </w:r>
    </w:p>
    <w:p w14:paraId="5CB2719D" w14:textId="77777777" w:rsidR="00452137" w:rsidRDefault="006E2751" w:rsidP="00536486">
      <w:pPr>
        <w:pStyle w:val="ListParagraph"/>
        <w:numPr>
          <w:ilvl w:val="1"/>
          <w:numId w:val="20"/>
        </w:numPr>
        <w:ind w:hanging="567"/>
        <w:jc w:val="both"/>
      </w:pPr>
      <w:r>
        <w:t>personal data has been manifestly made public by the data subject</w:t>
      </w:r>
      <w:r w:rsidR="00452137">
        <w:t>; and/or</w:t>
      </w:r>
    </w:p>
    <w:p w14:paraId="72F980C5" w14:textId="5980C0C9" w:rsidR="007761CE" w:rsidRDefault="00452137" w:rsidP="006227E6">
      <w:pPr>
        <w:pStyle w:val="ListParagraph"/>
        <w:ind w:left="993"/>
        <w:jc w:val="both"/>
      </w:pPr>
      <w:r>
        <w:t>necessary for the purpose of or in connection with legal proceedings.</w:t>
      </w:r>
    </w:p>
    <w:tbl>
      <w:tblPr>
        <w:tblStyle w:val="TableGrid"/>
        <w:tblW w:w="0" w:type="auto"/>
        <w:tblInd w:w="426" w:type="dxa"/>
        <w:tblLook w:val="04A0" w:firstRow="1" w:lastRow="0" w:firstColumn="1" w:lastColumn="0" w:noHBand="0" w:noVBand="1"/>
      </w:tblPr>
      <w:tblGrid>
        <w:gridCol w:w="8590"/>
      </w:tblGrid>
      <w:tr w:rsidR="007A284C" w14:paraId="5FC72A6F" w14:textId="77777777" w:rsidTr="323A4EF9">
        <w:tc>
          <w:tcPr>
            <w:tcW w:w="9016" w:type="dxa"/>
          </w:tcPr>
          <w:p w14:paraId="47AF6274" w14:textId="4FCC43EB" w:rsidR="007A284C" w:rsidRDefault="007A284C" w:rsidP="007A284C">
            <w:r w:rsidRPr="007A284C">
              <w:rPr>
                <w:b/>
              </w:rPr>
              <w:t>Example</w:t>
            </w:r>
            <w:r>
              <w:t xml:space="preserve">: The use of LFR will assist </w:t>
            </w:r>
            <w:r w:rsidR="003E225D">
              <w:t>HIOWC</w:t>
            </w:r>
            <w:r>
              <w:t xml:space="preserve"> in fighting knife crime in support of its common law policing powers. LFR could be deployed to identify wanted offenders who have failed to comply with court bail relating to such offences. Used in this way, LFR would assist in the prevention, investigation, detection or prosecution of criminal offences. </w:t>
            </w:r>
          </w:p>
          <w:p w14:paraId="407ABBEB" w14:textId="77777777" w:rsidR="007A284C" w:rsidRDefault="007A284C" w:rsidP="007A284C"/>
          <w:p w14:paraId="2E60E378" w14:textId="1F27C606" w:rsidR="007A284C" w:rsidRDefault="5CEE1182" w:rsidP="007A284C">
            <w:r>
              <w:t>LFR offers advantages over other potential policing methods such as a police officer using a picture or a physical description to scan a crowd and try and spot an offender where positive results would otherwise be less likely and the risk of people being missed</w:t>
            </w:r>
            <w:r w:rsidR="003E225D">
              <w:t xml:space="preserve"> or erroneously identified</w:t>
            </w:r>
            <w:r>
              <w:t xml:space="preserve">, higher. Given the importance of </w:t>
            </w:r>
            <w:r w:rsidRPr="00363F8B">
              <w:t xml:space="preserve">tackling serious </w:t>
            </w:r>
            <w:r w:rsidR="00363F8B" w:rsidRPr="00363F8B">
              <w:t>/ vi</w:t>
            </w:r>
            <w:r w:rsidRPr="00363F8B">
              <w:t>olent crime</w:t>
            </w:r>
            <w:r w:rsidR="00363F8B" w:rsidRPr="00363F8B">
              <w:t>,</w:t>
            </w:r>
            <w:r w:rsidR="00363F8B">
              <w:t xml:space="preserve"> priority offences </w:t>
            </w:r>
            <w:r w:rsidR="006D7F76">
              <w:t>and preventing the consequent harm to the public</w:t>
            </w:r>
            <w:r>
              <w:t xml:space="preserve">, a clear law enforcement purpose can be identified. In this context LFR’s use may be seen as strictly necessary to support the investigation of knife crime, to enable </w:t>
            </w:r>
            <w:r w:rsidR="006D7F76">
              <w:t>HIOWC</w:t>
            </w:r>
            <w:r w:rsidR="0064553A">
              <w:t xml:space="preserve"> </w:t>
            </w:r>
            <w:r>
              <w:t xml:space="preserve">to effectively respond to a pressing social need. </w:t>
            </w:r>
          </w:p>
          <w:p w14:paraId="5DEA7B65" w14:textId="77777777" w:rsidR="007A284C" w:rsidRDefault="007A284C" w:rsidP="007A284C"/>
          <w:p w14:paraId="39D948B5" w14:textId="040F8508" w:rsidR="007A284C" w:rsidRDefault="00182247" w:rsidP="00363F8B">
            <w:r>
              <w:t>T</w:t>
            </w:r>
            <w:r w:rsidR="007A284C">
              <w:t>he Schedule 8 condition</w:t>
            </w:r>
            <w:r>
              <w:t>s</w:t>
            </w:r>
            <w:r w:rsidR="007A284C">
              <w:t xml:space="preserve"> of being necessary for </w:t>
            </w:r>
            <w:r>
              <w:t xml:space="preserve">the administration of justice and/or in connection with legal proceedings and/or for the exercise of the law enforcement functions of the prevention, investigation, detection and/or prosecution of criminal offences </w:t>
            </w:r>
            <w:r w:rsidR="00C134E2">
              <w:t xml:space="preserve">and/or to </w:t>
            </w:r>
            <w:r w:rsidR="00C134E2">
              <w:lastRenderedPageBreak/>
              <w:t>protect the public in the substantial public interest may be engaged.</w:t>
            </w:r>
            <w:r w:rsidR="007A284C">
              <w:t xml:space="preserve"> For similar reasons, the court in the </w:t>
            </w:r>
            <w:r w:rsidR="007A284C" w:rsidRPr="007A284C">
              <w:rPr>
                <w:i/>
              </w:rPr>
              <w:t>Bridges</w:t>
            </w:r>
            <w:r w:rsidR="007A284C">
              <w:t xml:space="preserve"> cases accepted the substantial public interest in the police using LFR to discharge their common law policing duties.</w:t>
            </w:r>
          </w:p>
        </w:tc>
      </w:tr>
    </w:tbl>
    <w:p w14:paraId="2DDCF0A2" w14:textId="1D6946E8" w:rsidR="007761CE" w:rsidRDefault="007761CE" w:rsidP="007761CE">
      <w:pPr>
        <w:ind w:left="426"/>
        <w:jc w:val="both"/>
      </w:pPr>
    </w:p>
    <w:p w14:paraId="44F03926" w14:textId="628DBEBD" w:rsidR="00B707EF" w:rsidRDefault="005D31BE" w:rsidP="00B707EF">
      <w:pPr>
        <w:numPr>
          <w:ilvl w:val="1"/>
          <w:numId w:val="4"/>
        </w:numPr>
        <w:ind w:left="426" w:hanging="426"/>
        <w:jc w:val="both"/>
      </w:pPr>
      <w:r>
        <w:t>HIOWC</w:t>
      </w:r>
      <w:r w:rsidR="00B707EF">
        <w:t xml:space="preserve"> has also undertaken a number of steps in accordance with the Data Protection Impact Assessment (DPIA) to manage and mitigate the impact of any personal data processing using the LFR system. Particular actions are set out in the remainder of this section.</w:t>
      </w:r>
    </w:p>
    <w:p w14:paraId="4ECD4716" w14:textId="77777777" w:rsidR="00B707EF" w:rsidRDefault="00B707EF" w:rsidP="00B707EF">
      <w:pPr>
        <w:pStyle w:val="ListParagraph"/>
        <w:ind w:left="426"/>
        <w:jc w:val="both"/>
      </w:pPr>
    </w:p>
    <w:p w14:paraId="342D007E" w14:textId="77777777" w:rsidR="00B707EF" w:rsidRPr="0091488C" w:rsidRDefault="00B707EF" w:rsidP="00B707EF">
      <w:pPr>
        <w:numPr>
          <w:ilvl w:val="1"/>
          <w:numId w:val="4"/>
        </w:numPr>
        <w:ind w:left="426" w:hanging="426"/>
        <w:jc w:val="both"/>
        <w:rPr>
          <w:b/>
          <w:bCs/>
          <w:iCs/>
        </w:rPr>
      </w:pPr>
      <w:r w:rsidRPr="0091488C">
        <w:rPr>
          <w:b/>
          <w:bCs/>
          <w:iCs/>
        </w:rPr>
        <w:t xml:space="preserve">Data Protection Impact Assessment: </w:t>
      </w:r>
    </w:p>
    <w:p w14:paraId="3D78B206" w14:textId="77777777" w:rsidR="00B707EF" w:rsidRDefault="00B707EF" w:rsidP="00B707EF">
      <w:pPr>
        <w:pStyle w:val="ListParagraph"/>
        <w:ind w:left="426"/>
        <w:jc w:val="both"/>
        <w:rPr>
          <w:highlight w:val="green"/>
        </w:rPr>
      </w:pPr>
    </w:p>
    <w:p w14:paraId="5A525842" w14:textId="557A3ADA" w:rsidR="00B707EF" w:rsidRDefault="00B707EF" w:rsidP="00B707EF">
      <w:pPr>
        <w:pStyle w:val="ListParagraph"/>
        <w:ind w:left="426"/>
        <w:jc w:val="both"/>
      </w:pPr>
      <w:r>
        <w:t xml:space="preserve">A DPIA has been conducted to support the use of LFR in order to identify and minimise the data protection risks. Whilst the </w:t>
      </w:r>
      <w:r w:rsidR="00902D8C">
        <w:t xml:space="preserve">LFR </w:t>
      </w:r>
      <w:r>
        <w:t>DPIA will be</w:t>
      </w:r>
      <w:r w:rsidR="00CD0238">
        <w:t xml:space="preserve"> under constant review</w:t>
      </w:r>
      <w:r>
        <w:t xml:space="preserve"> </w:t>
      </w:r>
      <w:r w:rsidR="00CD0238">
        <w:t xml:space="preserve">and </w:t>
      </w:r>
      <w:r w:rsidR="005D31BE">
        <w:t xml:space="preserve">subject to a formal review </w:t>
      </w:r>
      <w:r w:rsidR="00CD0238">
        <w:t>no later than on an annual</w:t>
      </w:r>
      <w:r w:rsidR="00F604A4">
        <w:t xml:space="preserve"> basis</w:t>
      </w:r>
      <w:r>
        <w:t xml:space="preserve">, Authorising Officers authorising the use of LFR should ensure there is a DPIA in place </w:t>
      </w:r>
      <w:r w:rsidR="005D31BE">
        <w:t>and that their LFR Authority appropriately addresses the data prot</w:t>
      </w:r>
      <w:r w:rsidR="00363F8B">
        <w:t>e</w:t>
      </w:r>
      <w:r w:rsidR="005D31BE">
        <w:t>ction compliance issues arising in each Deployment</w:t>
      </w:r>
      <w:r>
        <w:t xml:space="preserve">.  Specifically, consideration should to be given to: </w:t>
      </w:r>
    </w:p>
    <w:p w14:paraId="2410D224" w14:textId="77777777" w:rsidR="00B707EF" w:rsidRDefault="00B707EF" w:rsidP="00B707EF">
      <w:pPr>
        <w:pStyle w:val="ListParagraph"/>
        <w:ind w:left="426"/>
        <w:jc w:val="both"/>
      </w:pPr>
    </w:p>
    <w:p w14:paraId="345A73B7" w14:textId="77777777" w:rsidR="00B707EF" w:rsidRDefault="00B707EF" w:rsidP="00B707EF">
      <w:pPr>
        <w:pStyle w:val="ListParagraph"/>
        <w:numPr>
          <w:ilvl w:val="0"/>
          <w:numId w:val="21"/>
        </w:numPr>
        <w:jc w:val="both"/>
      </w:pPr>
      <w:r>
        <w:t>if the risks and controls remain current and sufficient for the planned use of LFR; and</w:t>
      </w:r>
    </w:p>
    <w:p w14:paraId="0D15F5A5" w14:textId="77777777" w:rsidR="00B707EF" w:rsidRDefault="00B707EF" w:rsidP="00B707EF">
      <w:pPr>
        <w:pStyle w:val="ListParagraph"/>
        <w:numPr>
          <w:ilvl w:val="0"/>
          <w:numId w:val="21"/>
        </w:numPr>
        <w:jc w:val="both"/>
      </w:pPr>
      <w:r>
        <w:t>if the planned use for LFR poses any other risks which are capable of mitigation beyond those identified in the DPIA.</w:t>
      </w:r>
    </w:p>
    <w:p w14:paraId="1E7D7D55" w14:textId="77777777" w:rsidR="00B707EF" w:rsidRDefault="00B707EF" w:rsidP="00B707EF">
      <w:pPr>
        <w:pStyle w:val="ListParagraph"/>
        <w:ind w:left="426"/>
        <w:jc w:val="both"/>
        <w:rPr>
          <w:highlight w:val="green"/>
        </w:rPr>
      </w:pPr>
    </w:p>
    <w:p w14:paraId="4F3DD6CE" w14:textId="77777777" w:rsidR="00B707EF" w:rsidRPr="0091488C" w:rsidRDefault="00B707EF" w:rsidP="00B707EF">
      <w:pPr>
        <w:keepNext/>
        <w:numPr>
          <w:ilvl w:val="1"/>
          <w:numId w:val="4"/>
        </w:numPr>
        <w:ind w:left="425" w:hanging="426"/>
        <w:jc w:val="both"/>
        <w:rPr>
          <w:b/>
          <w:bCs/>
          <w:iCs/>
        </w:rPr>
      </w:pPr>
      <w:r w:rsidRPr="0091488C">
        <w:rPr>
          <w:b/>
          <w:bCs/>
          <w:iCs/>
        </w:rPr>
        <w:t xml:space="preserve">Data Protection by Design: </w:t>
      </w:r>
    </w:p>
    <w:p w14:paraId="12668E21" w14:textId="77777777" w:rsidR="00B707EF" w:rsidRDefault="00B707EF" w:rsidP="00B707EF">
      <w:pPr>
        <w:pStyle w:val="ListParagraph"/>
        <w:keepNext/>
        <w:ind w:left="425"/>
        <w:jc w:val="both"/>
        <w:rPr>
          <w:highlight w:val="green"/>
        </w:rPr>
      </w:pPr>
    </w:p>
    <w:p w14:paraId="0367540B" w14:textId="472E646E" w:rsidR="00B707EF" w:rsidRDefault="00B707EF" w:rsidP="00B707EF">
      <w:pPr>
        <w:pStyle w:val="ListParagraph"/>
        <w:keepNext/>
        <w:ind w:left="425"/>
        <w:jc w:val="both"/>
      </w:pPr>
      <w:r>
        <w:t xml:space="preserve">A number of data protection controls have been designed into the LFR system in order to mitigate processing impacts on privacy and to comply with the general obligation in Part 3 of the DPA </w:t>
      </w:r>
      <w:r w:rsidR="00312917">
        <w:t xml:space="preserve">(and Article 5 UK GDPR, where applicable) </w:t>
      </w:r>
      <w:r>
        <w:t xml:space="preserve">to implement appropriate technical and organisational measures having considered and integrated the principle of data protection into LFR processing activities. The designed-in measures identified </w:t>
      </w:r>
      <w:r w:rsidR="00312917">
        <w:t>throughout the HIOWC LFR Documents</w:t>
      </w:r>
      <w:r>
        <w:t xml:space="preserve">, include measures to: </w:t>
      </w:r>
    </w:p>
    <w:p w14:paraId="2E0FEB7C" w14:textId="77777777" w:rsidR="00B707EF" w:rsidRDefault="00B707EF" w:rsidP="009E5065">
      <w:pPr>
        <w:pStyle w:val="ListParagraph"/>
        <w:numPr>
          <w:ilvl w:val="0"/>
          <w:numId w:val="22"/>
        </w:numPr>
        <w:jc w:val="both"/>
      </w:pPr>
      <w:r>
        <w:t xml:space="preserve">limit the amount of personal data collected; </w:t>
      </w:r>
    </w:p>
    <w:p w14:paraId="33C9C472" w14:textId="77777777" w:rsidR="00B707EF" w:rsidRDefault="00B707EF" w:rsidP="009E5065">
      <w:pPr>
        <w:pStyle w:val="ListParagraph"/>
        <w:numPr>
          <w:ilvl w:val="0"/>
          <w:numId w:val="22"/>
        </w:numPr>
        <w:jc w:val="both"/>
      </w:pPr>
      <w:r>
        <w:t>limit the extent of personal data processing;</w:t>
      </w:r>
    </w:p>
    <w:p w14:paraId="5E821F6E" w14:textId="77777777" w:rsidR="00B707EF" w:rsidRDefault="00B707EF" w:rsidP="009E5065">
      <w:pPr>
        <w:pStyle w:val="ListParagraph"/>
        <w:numPr>
          <w:ilvl w:val="0"/>
          <w:numId w:val="22"/>
        </w:numPr>
        <w:jc w:val="both"/>
      </w:pPr>
      <w:r>
        <w:t xml:space="preserve">limit the period of personal data storage. </w:t>
      </w:r>
    </w:p>
    <w:p w14:paraId="40FCACE2" w14:textId="77777777" w:rsidR="00B707EF" w:rsidRDefault="00B707EF" w:rsidP="00B707EF">
      <w:pPr>
        <w:pStyle w:val="ListParagraph"/>
        <w:ind w:left="426"/>
        <w:jc w:val="both"/>
      </w:pPr>
    </w:p>
    <w:p w14:paraId="38811F7C" w14:textId="462B09BA" w:rsidR="00B707EF" w:rsidRDefault="00B707EF" w:rsidP="00B707EF">
      <w:pPr>
        <w:pStyle w:val="ListParagraph"/>
        <w:ind w:left="426"/>
        <w:jc w:val="both"/>
      </w:pPr>
      <w:r>
        <w:t xml:space="preserve">Additionally, </w:t>
      </w:r>
      <w:r w:rsidR="00363F8B">
        <w:t xml:space="preserve">HIOWC </w:t>
      </w:r>
      <w:r>
        <w:t xml:space="preserve">as acted to ensure that the LFR system performs to a level where the statistical accuracy of the data being processed and fairness ‘by design’ is ingrained into </w:t>
      </w:r>
      <w:r w:rsidR="00312917">
        <w:t>HIOWC</w:t>
      </w:r>
      <w:r w:rsidR="000A38A0">
        <w:t>’s</w:t>
      </w:r>
      <w:r>
        <w:t xml:space="preserve"> LFR system. </w:t>
      </w:r>
      <w:r w:rsidR="00312917">
        <w:t>HIOWC</w:t>
      </w:r>
      <w:r>
        <w:t xml:space="preserve"> LFR Documents and other published supporting information explain how </w:t>
      </w:r>
      <w:r w:rsidR="00312917">
        <w:t xml:space="preserve">HIOWC – and the public - </w:t>
      </w:r>
      <w:r>
        <w:t>is assured that its LFR system operates with a high degree of statistical accuracy and in a way that does not lead to unjust results between demographics.</w:t>
      </w:r>
    </w:p>
    <w:p w14:paraId="4CA1B987" w14:textId="77777777" w:rsidR="00B707EF" w:rsidRDefault="00B707EF" w:rsidP="00B707EF">
      <w:pPr>
        <w:pStyle w:val="ListParagraph"/>
        <w:ind w:left="426"/>
        <w:jc w:val="both"/>
      </w:pPr>
    </w:p>
    <w:p w14:paraId="735755F1" w14:textId="7F3BF6D1" w:rsidR="00B707EF" w:rsidRDefault="00B707EF" w:rsidP="00B707EF">
      <w:pPr>
        <w:pStyle w:val="ListParagraph"/>
        <w:ind w:left="426"/>
        <w:jc w:val="both"/>
      </w:pPr>
      <w:r>
        <w:t>Further consideration has been given to limiting access to any personal data retained for the 31 day period. The LFR system also includes a number of physical and technical security measures including:</w:t>
      </w:r>
    </w:p>
    <w:p w14:paraId="7888FFF3" w14:textId="7AFFBC14" w:rsidR="00B707EF" w:rsidRDefault="00B707EF" w:rsidP="000A38A0">
      <w:pPr>
        <w:pStyle w:val="ListParagraph"/>
        <w:numPr>
          <w:ilvl w:val="0"/>
          <w:numId w:val="23"/>
        </w:numPr>
        <w:tabs>
          <w:tab w:val="num" w:pos="360"/>
        </w:tabs>
      </w:pPr>
      <w:r>
        <w:t>Images are transferred onto the LFR system via a USB using an AES-CBC 256-bit full disk</w:t>
      </w:r>
      <w:r w:rsidR="000A38A0">
        <w:t xml:space="preserve"> </w:t>
      </w:r>
      <w:r>
        <w:t>hardware encryption engine, that is further protected by pass-number access;</w:t>
      </w:r>
    </w:p>
    <w:p w14:paraId="3AD001CB" w14:textId="77777777" w:rsidR="00B707EF" w:rsidRDefault="00B707EF" w:rsidP="000A38A0">
      <w:pPr>
        <w:pStyle w:val="ListParagraph"/>
        <w:numPr>
          <w:ilvl w:val="0"/>
          <w:numId w:val="23"/>
        </w:numPr>
      </w:pPr>
      <w:r>
        <w:lastRenderedPageBreak/>
        <w:t>The LFR system is a fully closed system with two layers of password protection to access the application. The LFR system is physically protected when in use and securely wiped following each Deployment;</w:t>
      </w:r>
    </w:p>
    <w:p w14:paraId="58E18D9B" w14:textId="77777777" w:rsidR="00B707EF" w:rsidRDefault="00B707EF" w:rsidP="000A38A0">
      <w:pPr>
        <w:pStyle w:val="ListParagraph"/>
        <w:numPr>
          <w:ilvl w:val="0"/>
          <w:numId w:val="23"/>
        </w:numPr>
      </w:pPr>
      <w:r>
        <w:t>Role based access controls with limited user permissions are implemented on the LFR system;</w:t>
      </w:r>
    </w:p>
    <w:p w14:paraId="60024A60" w14:textId="77777777" w:rsidR="00B707EF" w:rsidRDefault="00B707EF" w:rsidP="000A38A0">
      <w:pPr>
        <w:pStyle w:val="ListParagraph"/>
        <w:numPr>
          <w:ilvl w:val="0"/>
          <w:numId w:val="23"/>
        </w:numPr>
      </w:pPr>
      <w:r>
        <w:t>The LFR application is connected to mobile devices using a private access point with three levels of protection (i) specific IP addressing, (ii) password access to the access point, and (iii) password access to the mobile app. The mobile app has a RESTful API and will be covered by SSL; </w:t>
      </w:r>
    </w:p>
    <w:p w14:paraId="52EC2143" w14:textId="77777777" w:rsidR="00B707EF" w:rsidRDefault="00B707EF" w:rsidP="000A38A0">
      <w:pPr>
        <w:pStyle w:val="ListParagraph"/>
        <w:numPr>
          <w:ilvl w:val="0"/>
          <w:numId w:val="23"/>
        </w:numPr>
      </w:pPr>
      <w:r>
        <w:t xml:space="preserve">The Dashboard and RESTful API are secured with SSL and TLS by default; </w:t>
      </w:r>
    </w:p>
    <w:p w14:paraId="47C4DFC1" w14:textId="564EBCCA" w:rsidR="00B707EF" w:rsidRDefault="00B707EF" w:rsidP="000A38A0">
      <w:pPr>
        <w:pStyle w:val="ListParagraph"/>
        <w:numPr>
          <w:ilvl w:val="0"/>
          <w:numId w:val="23"/>
        </w:numPr>
      </w:pPr>
      <w:r>
        <w:t>All connections are directed through HTTPS</w:t>
      </w:r>
      <w:r w:rsidR="00FE51EB">
        <w:t xml:space="preserve"> within a closed system</w:t>
      </w:r>
      <w:r>
        <w:t xml:space="preserve">; </w:t>
      </w:r>
    </w:p>
    <w:p w14:paraId="66C8D5D7" w14:textId="77777777" w:rsidR="00B707EF" w:rsidRDefault="00B707EF" w:rsidP="000A38A0">
      <w:pPr>
        <w:pStyle w:val="ListParagraph"/>
        <w:numPr>
          <w:ilvl w:val="0"/>
          <w:numId w:val="23"/>
        </w:numPr>
      </w:pPr>
      <w:r>
        <w:t xml:space="preserve">A full audit is maintained of all user initiated actions undertaken during the course of a Deployment; </w:t>
      </w:r>
      <w:r w:rsidRPr="00363F8B">
        <w:rPr>
          <w:iCs/>
        </w:rPr>
        <w:t>and</w:t>
      </w:r>
    </w:p>
    <w:p w14:paraId="41C07412" w14:textId="77777777" w:rsidR="00B707EF" w:rsidRDefault="00B707EF" w:rsidP="00C328C7">
      <w:pPr>
        <w:pStyle w:val="ListParagraph"/>
        <w:numPr>
          <w:ilvl w:val="0"/>
          <w:numId w:val="23"/>
        </w:numPr>
      </w:pPr>
      <w:r>
        <w:t>Technical issues with the LFR system are always dealt with by member of the technical staff who support the Deployment of the LFR system.</w:t>
      </w:r>
    </w:p>
    <w:p w14:paraId="0F319DA6" w14:textId="77777777" w:rsidR="00B707EF" w:rsidRDefault="00B707EF" w:rsidP="00B707EF">
      <w:pPr>
        <w:pStyle w:val="ListParagraph"/>
        <w:ind w:left="426"/>
        <w:jc w:val="both"/>
        <w:rPr>
          <w:highlight w:val="green"/>
        </w:rPr>
      </w:pPr>
    </w:p>
    <w:p w14:paraId="7D79AB3D" w14:textId="77777777" w:rsidR="00B707EF" w:rsidRPr="0091488C" w:rsidRDefault="00B707EF" w:rsidP="00B707EF">
      <w:pPr>
        <w:keepNext/>
        <w:numPr>
          <w:ilvl w:val="1"/>
          <w:numId w:val="4"/>
        </w:numPr>
        <w:ind w:left="425" w:hanging="426"/>
        <w:jc w:val="both"/>
        <w:rPr>
          <w:b/>
          <w:bCs/>
          <w:iCs/>
        </w:rPr>
      </w:pPr>
      <w:r w:rsidRPr="0091488C">
        <w:rPr>
          <w:b/>
          <w:bCs/>
          <w:iCs/>
        </w:rPr>
        <w:t xml:space="preserve">Appropriate Policy Document: </w:t>
      </w:r>
    </w:p>
    <w:p w14:paraId="3FAB3D5E" w14:textId="77777777" w:rsidR="00B707EF" w:rsidRDefault="00B707EF" w:rsidP="00B707EF">
      <w:pPr>
        <w:pStyle w:val="ListParagraph"/>
        <w:keepNext/>
        <w:ind w:left="425"/>
        <w:jc w:val="both"/>
        <w:rPr>
          <w:highlight w:val="green"/>
        </w:rPr>
      </w:pPr>
    </w:p>
    <w:p w14:paraId="275E22E1" w14:textId="0D606885" w:rsidR="00B707EF" w:rsidRDefault="00B707EF" w:rsidP="00B707EF">
      <w:pPr>
        <w:pStyle w:val="ListParagraph"/>
        <w:keepNext/>
        <w:ind w:left="425"/>
        <w:jc w:val="both"/>
      </w:pPr>
      <w:r>
        <w:t xml:space="preserve">Section 42 of the DPA requires that, at the time that the processing is carried out, the controller has an appropriate policy document in place. </w:t>
      </w:r>
      <w:r w:rsidR="005B12D4">
        <w:t>HIOWC</w:t>
      </w:r>
      <w:r>
        <w:t xml:space="preserve"> has produced this document and published it. This document allows the public to understand details of the: </w:t>
      </w:r>
    </w:p>
    <w:p w14:paraId="616CE282" w14:textId="77777777" w:rsidR="00B707EF" w:rsidRDefault="00B707EF" w:rsidP="00E942F4">
      <w:pPr>
        <w:pStyle w:val="ListParagraph"/>
        <w:numPr>
          <w:ilvl w:val="0"/>
          <w:numId w:val="24"/>
        </w:numPr>
        <w:jc w:val="both"/>
      </w:pPr>
      <w:r>
        <w:t>the data being processed by the LFR system, how often it is processed and whose data is processed;</w:t>
      </w:r>
    </w:p>
    <w:p w14:paraId="293A8E16" w14:textId="14CBD261" w:rsidR="00B707EF" w:rsidRDefault="00B707EF" w:rsidP="00E942F4">
      <w:pPr>
        <w:pStyle w:val="ListParagraph"/>
        <w:numPr>
          <w:ilvl w:val="0"/>
          <w:numId w:val="24"/>
        </w:numPr>
        <w:jc w:val="both"/>
      </w:pPr>
      <w:r>
        <w:t xml:space="preserve">procedures, safeguards and accountability principles for complying with the data protection principles when relying on a condition from Schedule 8 </w:t>
      </w:r>
      <w:r w:rsidR="005B12D4">
        <w:t xml:space="preserve">DPA </w:t>
      </w:r>
      <w:r>
        <w:t>to process biometric personal data both for those on the Watchlist and those passing an LFR system;</w:t>
      </w:r>
    </w:p>
    <w:p w14:paraId="4669BB4F" w14:textId="520DFCF4" w:rsidR="00B707EF" w:rsidRDefault="005B12D4" w:rsidP="00E942F4">
      <w:pPr>
        <w:pStyle w:val="ListParagraph"/>
        <w:numPr>
          <w:ilvl w:val="0"/>
          <w:numId w:val="24"/>
        </w:numPr>
        <w:jc w:val="both"/>
      </w:pPr>
      <w:r>
        <w:t>HIOWC</w:t>
      </w:r>
      <w:r w:rsidR="00E942F4">
        <w:t xml:space="preserve"> </w:t>
      </w:r>
      <w:r w:rsidR="00B707EF">
        <w:t xml:space="preserve">policy for the retention and erasure of personal data for LFR processing. </w:t>
      </w:r>
    </w:p>
    <w:p w14:paraId="61438CF4" w14:textId="77777777" w:rsidR="00B707EF" w:rsidRDefault="00B707EF" w:rsidP="00B707EF">
      <w:pPr>
        <w:pStyle w:val="ListParagraph"/>
        <w:ind w:left="809"/>
        <w:jc w:val="both"/>
      </w:pPr>
    </w:p>
    <w:p w14:paraId="778362E0" w14:textId="77777777" w:rsidR="00B707EF" w:rsidRPr="0091488C" w:rsidRDefault="00B707EF" w:rsidP="00B707EF">
      <w:pPr>
        <w:numPr>
          <w:ilvl w:val="1"/>
          <w:numId w:val="4"/>
        </w:numPr>
        <w:ind w:left="426" w:hanging="426"/>
        <w:jc w:val="both"/>
        <w:rPr>
          <w:b/>
          <w:bCs/>
          <w:iCs/>
        </w:rPr>
      </w:pPr>
      <w:r w:rsidRPr="0091488C">
        <w:rPr>
          <w:b/>
          <w:bCs/>
          <w:iCs/>
        </w:rPr>
        <w:t xml:space="preserve">Data Protection Officer: </w:t>
      </w:r>
    </w:p>
    <w:p w14:paraId="06751D58" w14:textId="77777777" w:rsidR="00B707EF" w:rsidRDefault="00B707EF" w:rsidP="00B707EF">
      <w:pPr>
        <w:pStyle w:val="ListParagraph"/>
        <w:ind w:left="426"/>
        <w:jc w:val="both"/>
      </w:pPr>
    </w:p>
    <w:p w14:paraId="55F37715" w14:textId="3708DDC6" w:rsidR="00B707EF" w:rsidRDefault="002655B4" w:rsidP="00B707EF">
      <w:pPr>
        <w:pStyle w:val="ListParagraph"/>
        <w:ind w:left="426"/>
        <w:jc w:val="both"/>
      </w:pPr>
      <w:r>
        <w:t>HIOWC</w:t>
      </w:r>
      <w:r w:rsidR="00B707EF">
        <w:t xml:space="preserve"> has appointed a Data Protection Officer (DPO) in compliance with Part 3 DPA who has been consulted in relation to LFR. The DPO is available to inform and advise the C</w:t>
      </w:r>
      <w:r w:rsidR="009A2A6C">
        <w:t>hief Constable</w:t>
      </w:r>
      <w:r w:rsidR="00B707EF">
        <w:t xml:space="preserve"> (as data controller) and </w:t>
      </w:r>
      <w:r>
        <w:t>HIOWC</w:t>
      </w:r>
      <w:r w:rsidR="00B707EF">
        <w:t xml:space="preserve"> personnel about their obligations in relation to the DPA. The DPO also provides an internal function to monitor compliance with the DPA. </w:t>
      </w:r>
    </w:p>
    <w:p w14:paraId="58784D07" w14:textId="1A2FE18F" w:rsidR="00BD3C02" w:rsidRDefault="00BD3C02" w:rsidP="00B707EF">
      <w:pPr>
        <w:pStyle w:val="ListParagraph"/>
        <w:ind w:left="426"/>
        <w:jc w:val="both"/>
      </w:pPr>
    </w:p>
    <w:p w14:paraId="2C510536" w14:textId="4FD770B1" w:rsidR="00BD3C02" w:rsidRPr="0091488C" w:rsidRDefault="0085220D" w:rsidP="1699BAB1">
      <w:pPr>
        <w:pStyle w:val="Heading1"/>
        <w:rPr>
          <w:rFonts w:eastAsiaTheme="minorEastAsia"/>
          <w:sz w:val="28"/>
          <w:szCs w:val="28"/>
        </w:rPr>
      </w:pPr>
      <w:bookmarkStart w:id="33" w:name="_Toc86660217"/>
      <w:r w:rsidRPr="1699BAB1">
        <w:rPr>
          <w:rFonts w:eastAsiaTheme="minorEastAsia"/>
          <w:sz w:val="28"/>
          <w:szCs w:val="28"/>
        </w:rPr>
        <w:t xml:space="preserve">UK </w:t>
      </w:r>
      <w:r w:rsidR="00BD3C02" w:rsidRPr="1699BAB1">
        <w:rPr>
          <w:rFonts w:eastAsiaTheme="minorEastAsia"/>
          <w:sz w:val="28"/>
          <w:szCs w:val="28"/>
        </w:rPr>
        <w:t>GENERAL DATA PROTECTION REGULATION</w:t>
      </w:r>
      <w:bookmarkEnd w:id="33"/>
    </w:p>
    <w:p w14:paraId="7299FF44" w14:textId="6087FCFE" w:rsidR="00E30C82" w:rsidRPr="00E30C82" w:rsidRDefault="00E30C82" w:rsidP="00E30C82">
      <w:pPr>
        <w:numPr>
          <w:ilvl w:val="1"/>
          <w:numId w:val="4"/>
        </w:numPr>
        <w:tabs>
          <w:tab w:val="num" w:pos="360"/>
        </w:tabs>
        <w:ind w:left="426" w:hanging="426"/>
        <w:jc w:val="both"/>
      </w:pPr>
      <w:r>
        <w:t xml:space="preserve"> </w:t>
      </w:r>
      <w:r w:rsidRPr="00E30C82">
        <w:t xml:space="preserve">As part of </w:t>
      </w:r>
      <w:r w:rsidR="002655B4">
        <w:t xml:space="preserve">HIOWC’s </w:t>
      </w:r>
      <w:r w:rsidRPr="00E30C82">
        <w:t xml:space="preserve">common law powers to protect and preserve life and property, we process special category data in accordance with the requirements of Article 9 of the </w:t>
      </w:r>
      <w:r w:rsidR="000D2A06">
        <w:t xml:space="preserve">UK </w:t>
      </w:r>
      <w:r w:rsidRPr="00E30C82">
        <w:t>GDPR (which is incorporated into UK law under and supplemented by Part 2 and Schedule 1 of the DPA).</w:t>
      </w:r>
    </w:p>
    <w:p w14:paraId="7EAABEF8" w14:textId="1A9FB11E" w:rsidR="00E30C82" w:rsidRPr="00E30C82" w:rsidRDefault="00E30C82" w:rsidP="00E30C82">
      <w:pPr>
        <w:pStyle w:val="Heading2"/>
        <w:rPr>
          <w:rFonts w:asciiTheme="minorHAnsi" w:eastAsiaTheme="minorHAnsi" w:hAnsiTheme="minorHAnsi" w:cstheme="minorBidi"/>
          <w:color w:val="auto"/>
          <w:sz w:val="22"/>
          <w:szCs w:val="22"/>
        </w:rPr>
      </w:pPr>
      <w:r w:rsidRPr="00E30C82">
        <w:rPr>
          <w:rFonts w:asciiTheme="minorHAnsi" w:eastAsiaTheme="minorHAnsi" w:hAnsiTheme="minorHAnsi" w:cstheme="minorBidi"/>
          <w:color w:val="auto"/>
          <w:sz w:val="22"/>
          <w:szCs w:val="22"/>
        </w:rPr>
        <w:lastRenderedPageBreak/>
        <w:t xml:space="preserve">The Schedule 1 DPA conditions for processing special category data require </w:t>
      </w:r>
      <w:r w:rsidR="002655B4">
        <w:rPr>
          <w:rFonts w:asciiTheme="minorHAnsi" w:eastAsiaTheme="minorHAnsi" w:hAnsiTheme="minorHAnsi" w:cstheme="minorBidi"/>
          <w:color w:val="auto"/>
          <w:sz w:val="22"/>
          <w:szCs w:val="22"/>
        </w:rPr>
        <w:t>HIOWC</w:t>
      </w:r>
      <w:r w:rsidRPr="00E30C82">
        <w:rPr>
          <w:rFonts w:asciiTheme="minorHAnsi" w:eastAsiaTheme="minorHAnsi" w:hAnsiTheme="minorHAnsi" w:cstheme="minorBidi"/>
          <w:color w:val="auto"/>
          <w:sz w:val="22"/>
          <w:szCs w:val="22"/>
        </w:rPr>
        <w:t xml:space="preserve"> to have an APD in place, setting out and explaining our procedures for securing compliance with the principles in Article 5 GDPR (relating to processing of personal data) and policies regarding the retention and erasure of such personal data.   </w:t>
      </w:r>
    </w:p>
    <w:p w14:paraId="401BF783" w14:textId="53F1CF4E" w:rsidR="00E30C82" w:rsidRDefault="00E30C82" w:rsidP="00E30C82">
      <w:pPr>
        <w:pStyle w:val="Heading2"/>
        <w:numPr>
          <w:ilvl w:val="0"/>
          <w:numId w:val="0"/>
        </w:numPr>
        <w:rPr>
          <w:rFonts w:asciiTheme="minorHAnsi" w:eastAsiaTheme="minorHAnsi" w:hAnsiTheme="minorHAnsi" w:cstheme="minorBidi"/>
          <w:color w:val="auto"/>
          <w:sz w:val="22"/>
          <w:szCs w:val="22"/>
        </w:rPr>
      </w:pPr>
      <w:r w:rsidRPr="00E30C82">
        <w:rPr>
          <w:rFonts w:asciiTheme="minorHAnsi" w:eastAsiaTheme="minorHAnsi" w:hAnsiTheme="minorHAnsi" w:cstheme="minorBidi"/>
          <w:color w:val="auto"/>
          <w:sz w:val="22"/>
          <w:szCs w:val="22"/>
        </w:rPr>
        <w:t xml:space="preserve"> </w:t>
      </w:r>
    </w:p>
    <w:p w14:paraId="1993AFFF" w14:textId="4DBE34F3" w:rsidR="008D7D9F" w:rsidRPr="0091488C" w:rsidRDefault="008D7D9F" w:rsidP="008D7D9F">
      <w:pPr>
        <w:numPr>
          <w:ilvl w:val="1"/>
          <w:numId w:val="4"/>
        </w:numPr>
        <w:tabs>
          <w:tab w:val="num" w:pos="360"/>
        </w:tabs>
        <w:ind w:left="426" w:hanging="426"/>
        <w:jc w:val="both"/>
        <w:rPr>
          <w:b/>
          <w:bCs/>
        </w:rPr>
      </w:pPr>
      <w:r w:rsidRPr="0091488C">
        <w:rPr>
          <w:b/>
          <w:bCs/>
        </w:rPr>
        <w:t>Article 9 conditions of</w:t>
      </w:r>
      <w:r w:rsidR="00384515" w:rsidRPr="0091488C">
        <w:rPr>
          <w:b/>
          <w:bCs/>
        </w:rPr>
        <w:t xml:space="preserve"> UK</w:t>
      </w:r>
      <w:r w:rsidRPr="0091488C">
        <w:rPr>
          <w:b/>
          <w:bCs/>
        </w:rPr>
        <w:t xml:space="preserve"> GDPR are</w:t>
      </w:r>
      <w:r w:rsidR="003A3699" w:rsidRPr="0091488C">
        <w:rPr>
          <w:b/>
          <w:bCs/>
        </w:rPr>
        <w:t xml:space="preserve"> engaged</w:t>
      </w:r>
      <w:r w:rsidRPr="0091488C">
        <w:rPr>
          <w:b/>
          <w:bCs/>
        </w:rPr>
        <w:t>:</w:t>
      </w:r>
    </w:p>
    <w:p w14:paraId="14A864DF" w14:textId="72F91FB3" w:rsidR="008D7D9F" w:rsidRDefault="00BF630A" w:rsidP="008D7D9F">
      <w:pPr>
        <w:pStyle w:val="ListParagraph"/>
        <w:numPr>
          <w:ilvl w:val="0"/>
          <w:numId w:val="25"/>
        </w:numPr>
        <w:spacing w:after="0" w:line="288" w:lineRule="auto"/>
        <w:rPr>
          <w:rFonts w:cs="Arial"/>
          <w:color w:val="000000" w:themeColor="text1"/>
        </w:rPr>
      </w:pPr>
      <w:r>
        <w:rPr>
          <w:rFonts w:cs="Arial"/>
          <w:color w:val="000000" w:themeColor="text1"/>
        </w:rPr>
        <w:t xml:space="preserve">processing necessary to protect the vital interests of the data subject </w:t>
      </w:r>
      <w:r w:rsidR="00CA7D54">
        <w:rPr>
          <w:rFonts w:cs="Arial"/>
          <w:color w:val="000000" w:themeColor="text1"/>
        </w:rPr>
        <w:t xml:space="preserve">or of another natural person where the data subject is physically or legally incapable of giving consent; </w:t>
      </w:r>
    </w:p>
    <w:p w14:paraId="125928DA" w14:textId="5ADFDD44" w:rsidR="004E185C" w:rsidRDefault="004E185C" w:rsidP="008D7D9F">
      <w:pPr>
        <w:pStyle w:val="ListParagraph"/>
        <w:numPr>
          <w:ilvl w:val="0"/>
          <w:numId w:val="25"/>
        </w:numPr>
        <w:spacing w:after="0" w:line="288" w:lineRule="auto"/>
        <w:rPr>
          <w:rFonts w:cs="Arial"/>
          <w:color w:val="000000" w:themeColor="text1"/>
        </w:rPr>
      </w:pPr>
      <w:r>
        <w:rPr>
          <w:rFonts w:cs="Arial"/>
          <w:color w:val="000000" w:themeColor="text1"/>
        </w:rPr>
        <w:t xml:space="preserve">processing relates to personal data which are manifestly made public by the data subject; </w:t>
      </w:r>
      <w:r w:rsidR="008A6992">
        <w:rPr>
          <w:rFonts w:cs="Arial"/>
          <w:color w:val="000000" w:themeColor="text1"/>
        </w:rPr>
        <w:t>and/or</w:t>
      </w:r>
    </w:p>
    <w:p w14:paraId="3600BE02" w14:textId="3180EFDA" w:rsidR="008D7D9F" w:rsidRDefault="004E185C" w:rsidP="008D7D9F">
      <w:pPr>
        <w:pStyle w:val="ListParagraph"/>
        <w:numPr>
          <w:ilvl w:val="0"/>
          <w:numId w:val="25"/>
        </w:numPr>
        <w:spacing w:after="0" w:line="288" w:lineRule="auto"/>
        <w:rPr>
          <w:rFonts w:cs="Arial"/>
          <w:color w:val="000000" w:themeColor="text1"/>
        </w:rPr>
      </w:pPr>
      <w:r>
        <w:rPr>
          <w:rFonts w:cs="Arial"/>
          <w:color w:val="000000" w:themeColor="text1"/>
        </w:rPr>
        <w:t xml:space="preserve">processing necessary for reasons of </w:t>
      </w:r>
      <w:r w:rsidR="008D7D9F">
        <w:rPr>
          <w:rFonts w:cs="Arial"/>
          <w:color w:val="000000" w:themeColor="text1"/>
        </w:rPr>
        <w:t>substantial public interest</w:t>
      </w:r>
      <w:r>
        <w:rPr>
          <w:rFonts w:cs="Arial"/>
          <w:color w:val="000000" w:themeColor="text1"/>
        </w:rPr>
        <w:t xml:space="preserve"> provided for in domestic law</w:t>
      </w:r>
      <w:r w:rsidR="008A6992">
        <w:rPr>
          <w:rFonts w:cs="Arial"/>
          <w:color w:val="000000" w:themeColor="text1"/>
        </w:rPr>
        <w:t xml:space="preserve">. </w:t>
      </w:r>
    </w:p>
    <w:p w14:paraId="7BD57774" w14:textId="77777777" w:rsidR="008A7FB8" w:rsidRDefault="008A7FB8" w:rsidP="008A7FB8">
      <w:pPr>
        <w:pStyle w:val="ListParagraph"/>
        <w:spacing w:after="0" w:line="288" w:lineRule="auto"/>
        <w:ind w:left="786"/>
        <w:rPr>
          <w:rFonts w:cs="Arial"/>
          <w:color w:val="000000" w:themeColor="text1"/>
        </w:rPr>
      </w:pPr>
    </w:p>
    <w:p w14:paraId="48ECC0C7" w14:textId="58B2FC2F" w:rsidR="003A3699" w:rsidRDefault="008D7D9F" w:rsidP="323A4EF9">
      <w:pPr>
        <w:pStyle w:val="Heading2"/>
        <w:rPr>
          <w:rFonts w:asciiTheme="minorHAnsi" w:hAnsiTheme="minorHAnsi" w:cstheme="minorBidi"/>
          <w:color w:val="000000" w:themeColor="text1"/>
          <w:sz w:val="22"/>
          <w:szCs w:val="22"/>
        </w:rPr>
      </w:pPr>
      <w:r w:rsidRPr="323A4EF9">
        <w:rPr>
          <w:rFonts w:asciiTheme="minorHAnsi" w:hAnsiTheme="minorHAnsi" w:cstheme="minorBidi"/>
          <w:color w:val="000000" w:themeColor="text1"/>
          <w:sz w:val="22"/>
          <w:szCs w:val="22"/>
        </w:rPr>
        <w:t xml:space="preserve">Section 10 DPA supplements Article 9 </w:t>
      </w:r>
      <w:r w:rsidR="008A6992">
        <w:rPr>
          <w:rFonts w:asciiTheme="minorHAnsi" w:hAnsiTheme="minorHAnsi" w:cstheme="minorBidi"/>
          <w:color w:val="000000" w:themeColor="text1"/>
          <w:sz w:val="22"/>
          <w:szCs w:val="22"/>
        </w:rPr>
        <w:t xml:space="preserve">UK </w:t>
      </w:r>
      <w:r w:rsidRPr="323A4EF9">
        <w:rPr>
          <w:rFonts w:asciiTheme="minorHAnsi" w:hAnsiTheme="minorHAnsi" w:cstheme="minorBidi"/>
          <w:color w:val="000000" w:themeColor="text1"/>
          <w:sz w:val="22"/>
          <w:szCs w:val="22"/>
        </w:rPr>
        <w:t xml:space="preserve">GDPR, requiring the following </w:t>
      </w:r>
      <w:r w:rsidR="008A6992">
        <w:rPr>
          <w:rFonts w:asciiTheme="minorHAnsi" w:hAnsiTheme="minorHAnsi" w:cstheme="minorBidi"/>
          <w:color w:val="000000" w:themeColor="text1"/>
          <w:sz w:val="22"/>
          <w:szCs w:val="22"/>
        </w:rPr>
        <w:t xml:space="preserve">one or more substantial public interest </w:t>
      </w:r>
      <w:r w:rsidRPr="323A4EF9">
        <w:rPr>
          <w:rFonts w:asciiTheme="minorHAnsi" w:hAnsiTheme="minorHAnsi" w:cstheme="minorBidi"/>
          <w:color w:val="000000" w:themeColor="text1"/>
          <w:sz w:val="22"/>
          <w:szCs w:val="22"/>
        </w:rPr>
        <w:t>conditions of Schedule 1 to be satisfied</w:t>
      </w:r>
      <w:r w:rsidR="008A6992">
        <w:rPr>
          <w:rFonts w:asciiTheme="minorHAnsi" w:hAnsiTheme="minorHAnsi" w:cstheme="minorBidi"/>
          <w:color w:val="000000" w:themeColor="text1"/>
          <w:sz w:val="22"/>
          <w:szCs w:val="22"/>
        </w:rPr>
        <w:t xml:space="preserve">. </w:t>
      </w:r>
    </w:p>
    <w:p w14:paraId="323D6169" w14:textId="77777777" w:rsidR="008A7FB8" w:rsidRPr="008A7FB8" w:rsidRDefault="008A7FB8" w:rsidP="008A7FB8"/>
    <w:p w14:paraId="696194BC" w14:textId="0544D316" w:rsidR="008B6F52" w:rsidRPr="008B6F52" w:rsidRDefault="008B6F52" w:rsidP="4461A72C">
      <w:pPr>
        <w:pStyle w:val="Heading2"/>
        <w:rPr>
          <w:rFonts w:asciiTheme="minorHAnsi" w:eastAsiaTheme="minorEastAsia" w:hAnsiTheme="minorHAnsi" w:cstheme="minorBidi"/>
          <w:color w:val="auto"/>
          <w:sz w:val="22"/>
          <w:szCs w:val="22"/>
        </w:rPr>
      </w:pPr>
      <w:r w:rsidRPr="4461A72C">
        <w:rPr>
          <w:rFonts w:asciiTheme="minorHAnsi" w:eastAsiaTheme="minorEastAsia" w:hAnsiTheme="minorHAnsi" w:cstheme="minorBidi"/>
          <w:b/>
          <w:bCs/>
          <w:color w:val="auto"/>
          <w:sz w:val="22"/>
          <w:szCs w:val="22"/>
        </w:rPr>
        <w:t>Schedule 1 DPA (part 2) are engaged</w:t>
      </w:r>
      <w:r w:rsidRPr="4461A72C">
        <w:rPr>
          <w:rFonts w:asciiTheme="minorHAnsi" w:eastAsiaTheme="minorEastAsia" w:hAnsiTheme="minorHAnsi" w:cstheme="minorBidi"/>
          <w:color w:val="auto"/>
          <w:sz w:val="22"/>
          <w:szCs w:val="22"/>
        </w:rPr>
        <w:t xml:space="preserve">: </w:t>
      </w:r>
    </w:p>
    <w:p w14:paraId="00F51C31" w14:textId="62C7F412" w:rsidR="008A7FB8" w:rsidRDefault="008A7FB8" w:rsidP="008A7FB8">
      <w:pPr>
        <w:pStyle w:val="ListParagraph"/>
        <w:numPr>
          <w:ilvl w:val="0"/>
          <w:numId w:val="25"/>
        </w:numPr>
        <w:spacing w:after="0" w:line="288" w:lineRule="auto"/>
        <w:rPr>
          <w:rFonts w:cs="Arial"/>
          <w:color w:val="000000" w:themeColor="text1"/>
        </w:rPr>
      </w:pPr>
      <w:r>
        <w:rPr>
          <w:rFonts w:cs="Arial"/>
          <w:color w:val="000000" w:themeColor="text1"/>
        </w:rPr>
        <w:t xml:space="preserve">statutory and government purposes; </w:t>
      </w:r>
    </w:p>
    <w:p w14:paraId="419E811B" w14:textId="630365AB" w:rsidR="008A7FB8" w:rsidRDefault="008A7FB8" w:rsidP="008A7FB8">
      <w:pPr>
        <w:pStyle w:val="ListParagraph"/>
        <w:numPr>
          <w:ilvl w:val="0"/>
          <w:numId w:val="25"/>
        </w:numPr>
        <w:spacing w:after="0" w:line="288" w:lineRule="auto"/>
        <w:rPr>
          <w:rFonts w:cs="Arial"/>
          <w:color w:val="000000" w:themeColor="text1"/>
        </w:rPr>
      </w:pPr>
      <w:r>
        <w:rPr>
          <w:rFonts w:cs="Arial"/>
          <w:color w:val="000000" w:themeColor="text1"/>
        </w:rPr>
        <w:t>safeguarding of children</w:t>
      </w:r>
      <w:r w:rsidR="003609AA">
        <w:rPr>
          <w:rFonts w:cs="Arial"/>
          <w:color w:val="000000" w:themeColor="text1"/>
        </w:rPr>
        <w:t xml:space="preserve"> or individuals at risk. </w:t>
      </w:r>
    </w:p>
    <w:p w14:paraId="2015A60E" w14:textId="6CDED214" w:rsidR="00746F9F" w:rsidRDefault="00746F9F" w:rsidP="00746F9F">
      <w:pPr>
        <w:spacing w:after="0" w:line="288" w:lineRule="auto"/>
        <w:rPr>
          <w:rFonts w:cs="Arial"/>
          <w:color w:val="000000" w:themeColor="text1"/>
        </w:rPr>
      </w:pPr>
    </w:p>
    <w:p w14:paraId="28B55CEC" w14:textId="02219DAB" w:rsidR="00BD3C02" w:rsidRPr="0091488C" w:rsidRDefault="004B7793" w:rsidP="004B7793">
      <w:pPr>
        <w:numPr>
          <w:ilvl w:val="1"/>
          <w:numId w:val="4"/>
        </w:numPr>
        <w:tabs>
          <w:tab w:val="num" w:pos="360"/>
        </w:tabs>
        <w:ind w:left="426" w:hanging="426"/>
        <w:jc w:val="both"/>
        <w:rPr>
          <w:rFonts w:cstheme="minorHAnsi"/>
          <w:b/>
          <w:bCs/>
        </w:rPr>
      </w:pPr>
      <w:r w:rsidRPr="0091488C">
        <w:rPr>
          <w:b/>
          <w:bCs/>
        </w:rPr>
        <w:t xml:space="preserve">Appropriate Policy Document: </w:t>
      </w:r>
    </w:p>
    <w:p w14:paraId="478438B5" w14:textId="76AF0F11" w:rsidR="00D545F9" w:rsidRDefault="002655B4" w:rsidP="00D545F9">
      <w:pPr>
        <w:spacing w:after="228" w:line="240" w:lineRule="auto"/>
        <w:rPr>
          <w:rFonts w:cs="Arial"/>
        </w:rPr>
      </w:pPr>
      <w:r>
        <w:rPr>
          <w:rFonts w:cs="Arial"/>
        </w:rPr>
        <w:t>Article 9 UK GDPR, secti</w:t>
      </w:r>
      <w:r w:rsidR="005B12D4">
        <w:rPr>
          <w:rFonts w:cs="Arial"/>
        </w:rPr>
        <w:t>o</w:t>
      </w:r>
      <w:r>
        <w:rPr>
          <w:rFonts w:cs="Arial"/>
        </w:rPr>
        <w:t>n 10 DPA and Parts 2 and 4 of Schedule 1 DPA require HIOWC to have an APD in place</w:t>
      </w:r>
      <w:r w:rsidR="00D545F9" w:rsidRPr="0094114B">
        <w:rPr>
          <w:rFonts w:cs="Arial"/>
        </w:rPr>
        <w:t>, setting out and explaining our procedures for securing compliance with the principles in Article 5</w:t>
      </w:r>
      <w:r w:rsidR="00D545F9">
        <w:rPr>
          <w:rFonts w:cs="Arial"/>
        </w:rPr>
        <w:t xml:space="preserve"> GDPR.  </w:t>
      </w:r>
      <w:r w:rsidR="00D92587">
        <w:rPr>
          <w:rFonts w:cs="Arial"/>
        </w:rPr>
        <w:t>HIOWC</w:t>
      </w:r>
      <w:r w:rsidR="00D545F9">
        <w:rPr>
          <w:rFonts w:cs="Arial"/>
        </w:rPr>
        <w:t xml:space="preserve"> has produced this document and published it.  This document allows the public to understand details of the:</w:t>
      </w:r>
    </w:p>
    <w:p w14:paraId="06E3DACB" w14:textId="77777777" w:rsidR="00E24422" w:rsidRDefault="00E24422" w:rsidP="00E24422">
      <w:pPr>
        <w:pStyle w:val="ListParagraph"/>
        <w:numPr>
          <w:ilvl w:val="0"/>
          <w:numId w:val="26"/>
        </w:numPr>
        <w:jc w:val="both"/>
      </w:pPr>
      <w:r>
        <w:t>the data being processed by the LFR system, how often it is processed and whose data is processed;</w:t>
      </w:r>
    </w:p>
    <w:p w14:paraId="6E4D6048" w14:textId="33629646" w:rsidR="00E24422" w:rsidRDefault="00E24422" w:rsidP="00E24422">
      <w:pPr>
        <w:pStyle w:val="ListParagraph"/>
        <w:numPr>
          <w:ilvl w:val="0"/>
          <w:numId w:val="26"/>
        </w:numPr>
        <w:jc w:val="both"/>
      </w:pPr>
      <w:r>
        <w:t xml:space="preserve">procedures, safeguards and accountability principles for complying with the data protection principles when relying on a </w:t>
      </w:r>
      <w:r w:rsidR="002655B4">
        <w:t xml:space="preserve">Schedule 1 DPA </w:t>
      </w:r>
      <w:r>
        <w:t xml:space="preserve">condition </w:t>
      </w:r>
      <w:r w:rsidR="002655B4">
        <w:t xml:space="preserve">pursuant to </w:t>
      </w:r>
      <w:r>
        <w:t>Article 9 to process biometric personal data both for those on the Watchlist and those passing an LFR system;</w:t>
      </w:r>
    </w:p>
    <w:p w14:paraId="5EAA54CE" w14:textId="0C850E26" w:rsidR="00D545F9" w:rsidRPr="00E55063" w:rsidRDefault="00F57C8E" w:rsidP="00D545F9">
      <w:pPr>
        <w:pStyle w:val="ListParagraph"/>
        <w:numPr>
          <w:ilvl w:val="0"/>
          <w:numId w:val="26"/>
        </w:numPr>
        <w:jc w:val="both"/>
      </w:pPr>
      <w:r>
        <w:t>HIOWC</w:t>
      </w:r>
      <w:r w:rsidR="00E24422">
        <w:t xml:space="preserve"> policy for the retention and erasure of personal data for LFR processing. </w:t>
      </w:r>
    </w:p>
    <w:p w14:paraId="45A282D0" w14:textId="77777777" w:rsidR="00BD3C02" w:rsidRPr="0091488C" w:rsidRDefault="00BD3C02" w:rsidP="1699BAB1">
      <w:pPr>
        <w:pStyle w:val="Heading1"/>
        <w:rPr>
          <w:rFonts w:eastAsiaTheme="minorEastAsia"/>
          <w:sz w:val="28"/>
          <w:szCs w:val="28"/>
        </w:rPr>
      </w:pPr>
      <w:bookmarkStart w:id="34" w:name="_Toc27085364"/>
      <w:bookmarkStart w:id="35" w:name="_Toc86660218"/>
      <w:r w:rsidRPr="1699BAB1">
        <w:rPr>
          <w:rFonts w:eastAsiaTheme="minorEastAsia"/>
          <w:sz w:val="28"/>
          <w:szCs w:val="28"/>
        </w:rPr>
        <w:t>PROTECTION OF FREEDOMS ACT 2012</w:t>
      </w:r>
      <w:bookmarkEnd w:id="34"/>
      <w:bookmarkEnd w:id="35"/>
    </w:p>
    <w:p w14:paraId="29AC514F" w14:textId="05B80DF8" w:rsidR="00950D28" w:rsidRDefault="00950D28" w:rsidP="00E0370F">
      <w:pPr>
        <w:pStyle w:val="ListParagraph"/>
        <w:ind w:left="426"/>
        <w:jc w:val="both"/>
      </w:pPr>
      <w:r>
        <w:t xml:space="preserve">The Protection of Freedoms Act 2012 (PoFA) </w:t>
      </w:r>
      <w:r w:rsidR="00EE2AE8">
        <w:t>saw</w:t>
      </w:r>
      <w:r>
        <w:t xml:space="preserve"> the introduction of a new surveillance camera code issues by the Secretary of State (the Code) and the appointment of a Surveillance Camera Commissioner</w:t>
      </w:r>
      <w:r w:rsidR="00EE2AE8">
        <w:t xml:space="preserve"> (now the Biometrics and Surveillance Camera Commissioner)</w:t>
      </w:r>
      <w:r>
        <w:t xml:space="preserve">. Section 33(1) PoFA requires </w:t>
      </w:r>
      <w:r w:rsidR="0064553A">
        <w:t>HIOWC</w:t>
      </w:r>
      <w:r>
        <w:t xml:space="preserve"> to have regard to the Code for the use of LFR. This includes compliance with the 12 guiding principles that system operators should adopt. The Code makes a number of specific points in relation to automated recognition technologies which </w:t>
      </w:r>
      <w:r w:rsidR="0064553A">
        <w:t>HIOWC</w:t>
      </w:r>
      <w:r>
        <w:t xml:space="preserve"> have regard to as follows:</w:t>
      </w:r>
    </w:p>
    <w:tbl>
      <w:tblPr>
        <w:tblStyle w:val="TableGrid"/>
        <w:tblW w:w="0" w:type="auto"/>
        <w:tblInd w:w="426" w:type="dxa"/>
        <w:tblLook w:val="04A0" w:firstRow="1" w:lastRow="0" w:firstColumn="1" w:lastColumn="0" w:noHBand="0" w:noVBand="1"/>
      </w:tblPr>
      <w:tblGrid>
        <w:gridCol w:w="4292"/>
        <w:gridCol w:w="4298"/>
      </w:tblGrid>
      <w:tr w:rsidR="00950D28" w14:paraId="64B946AB" w14:textId="77777777" w:rsidTr="34BF0684">
        <w:tc>
          <w:tcPr>
            <w:tcW w:w="4297"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52B80F87" w14:textId="77777777" w:rsidR="00950D28" w:rsidRDefault="00950D28">
            <w:pPr>
              <w:pStyle w:val="ListParagraph"/>
              <w:spacing w:line="240" w:lineRule="auto"/>
              <w:ind w:left="0"/>
              <w:jc w:val="both"/>
              <w:rPr>
                <w:b/>
              </w:rPr>
            </w:pPr>
            <w:r>
              <w:rPr>
                <w:b/>
              </w:rPr>
              <w:t xml:space="preserve">Code </w:t>
            </w:r>
          </w:p>
        </w:tc>
        <w:tc>
          <w:tcPr>
            <w:tcW w:w="4293"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7A3880FC" w14:textId="5003A75C" w:rsidR="00950D28" w:rsidRDefault="00B201F4">
            <w:pPr>
              <w:pStyle w:val="ListParagraph"/>
              <w:spacing w:line="240" w:lineRule="auto"/>
              <w:ind w:left="0"/>
              <w:jc w:val="both"/>
              <w:rPr>
                <w:b/>
              </w:rPr>
            </w:pPr>
            <w:r>
              <w:rPr>
                <w:b/>
              </w:rPr>
              <w:t>HIOWC</w:t>
            </w:r>
            <w:r w:rsidR="00950D28">
              <w:rPr>
                <w:b/>
              </w:rPr>
              <w:t xml:space="preserve"> approach</w:t>
            </w:r>
          </w:p>
        </w:tc>
      </w:tr>
      <w:tr w:rsidR="00950D28" w14:paraId="3F269A0A" w14:textId="77777777" w:rsidTr="34BF0684">
        <w:tc>
          <w:tcPr>
            <w:tcW w:w="4508" w:type="dxa"/>
            <w:tcBorders>
              <w:top w:val="single" w:sz="4" w:space="0" w:color="auto"/>
              <w:left w:val="single" w:sz="4" w:space="0" w:color="auto"/>
              <w:bottom w:val="single" w:sz="4" w:space="0" w:color="auto"/>
              <w:right w:val="single" w:sz="4" w:space="0" w:color="auto"/>
            </w:tcBorders>
            <w:hideMark/>
          </w:tcPr>
          <w:p w14:paraId="32D90987" w14:textId="77777777" w:rsidR="00950D28" w:rsidRDefault="00950D28">
            <w:pPr>
              <w:pStyle w:val="ListParagraph"/>
              <w:spacing w:line="240" w:lineRule="auto"/>
              <w:ind w:left="0"/>
              <w:jc w:val="both"/>
            </w:pPr>
            <w:r>
              <w:t xml:space="preserve">Fair processing information to data subjects </w:t>
            </w:r>
          </w:p>
        </w:tc>
        <w:tc>
          <w:tcPr>
            <w:tcW w:w="4508" w:type="dxa"/>
            <w:tcBorders>
              <w:top w:val="single" w:sz="4" w:space="0" w:color="auto"/>
              <w:left w:val="single" w:sz="4" w:space="0" w:color="auto"/>
              <w:bottom w:val="single" w:sz="4" w:space="0" w:color="auto"/>
              <w:right w:val="single" w:sz="4" w:space="0" w:color="auto"/>
            </w:tcBorders>
            <w:hideMark/>
          </w:tcPr>
          <w:p w14:paraId="4B4F601A" w14:textId="2C55C0E0" w:rsidR="00950D28" w:rsidRDefault="00EE2AE8">
            <w:pPr>
              <w:pStyle w:val="ListParagraph"/>
              <w:spacing w:line="240" w:lineRule="auto"/>
              <w:ind w:left="0"/>
              <w:jc w:val="both"/>
            </w:pPr>
            <w:r>
              <w:t>HIOWC</w:t>
            </w:r>
            <w:r w:rsidR="00950D28">
              <w:t xml:space="preserve"> processing information </w:t>
            </w:r>
            <w:r w:rsidR="7DCD1083">
              <w:t>publicly</w:t>
            </w:r>
            <w:r w:rsidR="00950D28">
              <w:t xml:space="preserve"> available to data subjects. It makes information relating to the LFR and data processing available via its website</w:t>
            </w:r>
            <w:r>
              <w:t xml:space="preserve"> and </w:t>
            </w:r>
            <w:r w:rsidR="008A221C">
              <w:t xml:space="preserve">provides information to affected individuals </w:t>
            </w:r>
            <w:r w:rsidR="008A221C">
              <w:lastRenderedPageBreak/>
              <w:t>through ‘just in time’ notices at Deployment locations and making officers available to speak to the public and providing leaflets to individuals who are engaged with</w:t>
            </w:r>
            <w:r w:rsidR="00950D28">
              <w:t xml:space="preserve">. The LFR </w:t>
            </w:r>
            <w:r w:rsidR="0042344D">
              <w:t>d</w:t>
            </w:r>
            <w:r w:rsidR="00950D28">
              <w:t xml:space="preserve">eployments are </w:t>
            </w:r>
            <w:r w:rsidR="7DCD1083">
              <w:t>publicly</w:t>
            </w:r>
            <w:r w:rsidR="00950D28">
              <w:t xml:space="preserve"> disclosed with supporting information.</w:t>
            </w:r>
          </w:p>
        </w:tc>
      </w:tr>
      <w:tr w:rsidR="00950D28" w14:paraId="0CAC71D6" w14:textId="77777777" w:rsidTr="34BF0684">
        <w:tc>
          <w:tcPr>
            <w:tcW w:w="4508" w:type="dxa"/>
            <w:tcBorders>
              <w:top w:val="single" w:sz="4" w:space="0" w:color="auto"/>
              <w:left w:val="single" w:sz="4" w:space="0" w:color="auto"/>
              <w:bottom w:val="single" w:sz="4" w:space="0" w:color="auto"/>
              <w:right w:val="single" w:sz="4" w:space="0" w:color="auto"/>
            </w:tcBorders>
            <w:hideMark/>
          </w:tcPr>
          <w:p w14:paraId="46F04E3E" w14:textId="77777777" w:rsidR="00950D28" w:rsidRDefault="00950D28">
            <w:pPr>
              <w:pStyle w:val="ListParagraph"/>
              <w:spacing w:line="240" w:lineRule="auto"/>
              <w:ind w:left="0"/>
              <w:jc w:val="both"/>
            </w:pPr>
            <w:r>
              <w:lastRenderedPageBreak/>
              <w:t xml:space="preserve">Appropriate retention and disposal systems </w:t>
            </w:r>
          </w:p>
        </w:tc>
        <w:tc>
          <w:tcPr>
            <w:tcW w:w="4508" w:type="dxa"/>
            <w:tcBorders>
              <w:top w:val="single" w:sz="4" w:space="0" w:color="auto"/>
              <w:left w:val="single" w:sz="4" w:space="0" w:color="auto"/>
              <w:bottom w:val="single" w:sz="4" w:space="0" w:color="auto"/>
              <w:right w:val="single" w:sz="4" w:space="0" w:color="auto"/>
            </w:tcBorders>
            <w:hideMark/>
          </w:tcPr>
          <w:p w14:paraId="0BF68DD9" w14:textId="67520E39" w:rsidR="00950D28" w:rsidRDefault="00950D28">
            <w:pPr>
              <w:pStyle w:val="ListParagraph"/>
              <w:spacing w:line="240" w:lineRule="auto"/>
              <w:ind w:left="0"/>
              <w:jc w:val="both"/>
            </w:pPr>
            <w:r>
              <w:t xml:space="preserve">The necessary systems are addressed </w:t>
            </w:r>
            <w:r w:rsidR="008A221C">
              <w:t>in the HIOWC</w:t>
            </w:r>
            <w:r>
              <w:t xml:space="preserve"> LFR Documents.</w:t>
            </w:r>
          </w:p>
        </w:tc>
      </w:tr>
      <w:tr w:rsidR="00950D28" w14:paraId="7D445B8F" w14:textId="77777777" w:rsidTr="34BF0684">
        <w:tc>
          <w:tcPr>
            <w:tcW w:w="4508" w:type="dxa"/>
            <w:tcBorders>
              <w:top w:val="single" w:sz="4" w:space="0" w:color="auto"/>
              <w:left w:val="single" w:sz="4" w:space="0" w:color="auto"/>
              <w:bottom w:val="single" w:sz="4" w:space="0" w:color="auto"/>
              <w:right w:val="single" w:sz="4" w:space="0" w:color="auto"/>
            </w:tcBorders>
            <w:hideMark/>
          </w:tcPr>
          <w:p w14:paraId="4E97D477" w14:textId="77777777" w:rsidR="00950D28" w:rsidRDefault="00950D28">
            <w:pPr>
              <w:pStyle w:val="ListParagraph"/>
              <w:spacing w:line="240" w:lineRule="auto"/>
              <w:ind w:left="0"/>
              <w:jc w:val="both"/>
            </w:pPr>
            <w:r>
              <w:t>Suitable technological and physical security measures</w:t>
            </w:r>
          </w:p>
        </w:tc>
        <w:tc>
          <w:tcPr>
            <w:tcW w:w="4508" w:type="dxa"/>
            <w:tcBorders>
              <w:top w:val="single" w:sz="4" w:space="0" w:color="auto"/>
              <w:left w:val="single" w:sz="4" w:space="0" w:color="auto"/>
              <w:bottom w:val="single" w:sz="4" w:space="0" w:color="auto"/>
              <w:right w:val="single" w:sz="4" w:space="0" w:color="auto"/>
            </w:tcBorders>
            <w:hideMark/>
          </w:tcPr>
          <w:p w14:paraId="31BEBC23" w14:textId="48E73A64" w:rsidR="00950D28" w:rsidRDefault="00950D28">
            <w:pPr>
              <w:pStyle w:val="ListParagraph"/>
              <w:spacing w:line="240" w:lineRule="auto"/>
              <w:ind w:left="0"/>
              <w:jc w:val="both"/>
            </w:pPr>
            <w:r>
              <w:t xml:space="preserve">These measures have been addressed by design and are also covered in </w:t>
            </w:r>
            <w:r w:rsidR="008A221C">
              <w:t>HIOWC</w:t>
            </w:r>
            <w:r>
              <w:t xml:space="preserve"> LFR Documents.</w:t>
            </w:r>
          </w:p>
        </w:tc>
      </w:tr>
      <w:tr w:rsidR="00950D28" w14:paraId="345C49C9" w14:textId="77777777" w:rsidTr="34BF0684">
        <w:tc>
          <w:tcPr>
            <w:tcW w:w="4508" w:type="dxa"/>
            <w:tcBorders>
              <w:top w:val="single" w:sz="4" w:space="0" w:color="auto"/>
              <w:left w:val="single" w:sz="4" w:space="0" w:color="auto"/>
              <w:bottom w:val="single" w:sz="4" w:space="0" w:color="auto"/>
              <w:right w:val="single" w:sz="4" w:space="0" w:color="auto"/>
            </w:tcBorders>
            <w:hideMark/>
          </w:tcPr>
          <w:p w14:paraId="42797CC7" w14:textId="77777777" w:rsidR="00950D28" w:rsidRDefault="00950D28">
            <w:pPr>
              <w:pStyle w:val="ListParagraph"/>
              <w:spacing w:line="240" w:lineRule="auto"/>
              <w:ind w:left="0"/>
              <w:jc w:val="both"/>
            </w:pPr>
            <w:r>
              <w:t>Cameras of sufficient quality to meet the intended purpose</w:t>
            </w:r>
          </w:p>
        </w:tc>
        <w:tc>
          <w:tcPr>
            <w:tcW w:w="4508" w:type="dxa"/>
            <w:tcBorders>
              <w:top w:val="single" w:sz="4" w:space="0" w:color="auto"/>
              <w:left w:val="single" w:sz="4" w:space="0" w:color="auto"/>
              <w:bottom w:val="single" w:sz="4" w:space="0" w:color="auto"/>
              <w:right w:val="single" w:sz="4" w:space="0" w:color="auto"/>
            </w:tcBorders>
            <w:hideMark/>
          </w:tcPr>
          <w:p w14:paraId="49B4B3A3" w14:textId="77777777" w:rsidR="00950D28" w:rsidRDefault="00950D28">
            <w:pPr>
              <w:pStyle w:val="ListParagraph"/>
              <w:spacing w:line="240" w:lineRule="auto"/>
              <w:ind w:left="0"/>
              <w:jc w:val="both"/>
            </w:pPr>
            <w:r>
              <w:t>This requirement is addressed by the design of the LFR system.</w:t>
            </w:r>
          </w:p>
        </w:tc>
      </w:tr>
      <w:tr w:rsidR="00950D28" w14:paraId="3A81D651" w14:textId="77777777" w:rsidTr="34BF0684">
        <w:tc>
          <w:tcPr>
            <w:tcW w:w="4508" w:type="dxa"/>
            <w:tcBorders>
              <w:top w:val="single" w:sz="4" w:space="0" w:color="auto"/>
              <w:left w:val="single" w:sz="4" w:space="0" w:color="auto"/>
              <w:bottom w:val="single" w:sz="4" w:space="0" w:color="auto"/>
              <w:right w:val="single" w:sz="4" w:space="0" w:color="auto"/>
            </w:tcBorders>
            <w:hideMark/>
          </w:tcPr>
          <w:p w14:paraId="53876821" w14:textId="77777777" w:rsidR="00950D28" w:rsidRDefault="00950D28">
            <w:pPr>
              <w:pStyle w:val="ListParagraph"/>
              <w:spacing w:line="240" w:lineRule="auto"/>
              <w:ind w:left="0"/>
              <w:jc w:val="both"/>
            </w:pPr>
            <w:r>
              <w:t>Monitored by trained individuals</w:t>
            </w:r>
          </w:p>
        </w:tc>
        <w:tc>
          <w:tcPr>
            <w:tcW w:w="4508" w:type="dxa"/>
            <w:tcBorders>
              <w:top w:val="single" w:sz="4" w:space="0" w:color="auto"/>
              <w:left w:val="single" w:sz="4" w:space="0" w:color="auto"/>
              <w:bottom w:val="single" w:sz="4" w:space="0" w:color="auto"/>
              <w:right w:val="single" w:sz="4" w:space="0" w:color="auto"/>
            </w:tcBorders>
            <w:hideMark/>
          </w:tcPr>
          <w:p w14:paraId="0CB2981A" w14:textId="06EC93B8" w:rsidR="00950D28" w:rsidRDefault="00950D28">
            <w:pPr>
              <w:pStyle w:val="ListParagraph"/>
              <w:spacing w:line="240" w:lineRule="auto"/>
              <w:ind w:left="0"/>
              <w:jc w:val="both"/>
            </w:pPr>
            <w:r>
              <w:t>The LFR system will always flag possible matches to a trained member of</w:t>
            </w:r>
            <w:r w:rsidR="008A221C">
              <w:t xml:space="preserve"> HIOWC</w:t>
            </w:r>
            <w:r w:rsidR="1C3AC029">
              <w:t xml:space="preserve"> Joint Operations Unit</w:t>
            </w:r>
            <w:r>
              <w:t xml:space="preserve"> </w:t>
            </w:r>
            <w:r w:rsidR="002E52CE">
              <w:t>L</w:t>
            </w:r>
            <w:r w:rsidR="00DD1433">
              <w:t>FR</w:t>
            </w:r>
            <w:r w:rsidR="002E52CE">
              <w:t xml:space="preserve"> Team</w:t>
            </w:r>
            <w:r w:rsidR="00DD1433">
              <w:t xml:space="preserve"> </w:t>
            </w:r>
            <w:r>
              <w:t xml:space="preserve">personnel for a decision on any further action. In this way, the LFR system works to assist </w:t>
            </w:r>
            <w:r w:rsidR="008A221C">
              <w:t>HIOWC</w:t>
            </w:r>
            <w:r>
              <w:t xml:space="preserve"> personnel to make identifications rather than acting as an autonomous machine-based process devoid of user input.</w:t>
            </w:r>
          </w:p>
        </w:tc>
      </w:tr>
    </w:tbl>
    <w:p w14:paraId="479AAF6A" w14:textId="3AEC8C81" w:rsidR="00BD3C02" w:rsidRDefault="00BD3C02" w:rsidP="00BD3C02">
      <w:pPr>
        <w:jc w:val="both"/>
      </w:pPr>
    </w:p>
    <w:p w14:paraId="106610DD" w14:textId="77777777" w:rsidR="00671338" w:rsidRPr="0091488C" w:rsidRDefault="00671338" w:rsidP="1699BAB1">
      <w:pPr>
        <w:pStyle w:val="Heading1"/>
        <w:ind w:left="425"/>
        <w:rPr>
          <w:rFonts w:eastAsiaTheme="minorEastAsia"/>
          <w:sz w:val="28"/>
          <w:szCs w:val="28"/>
        </w:rPr>
      </w:pPr>
      <w:bookmarkStart w:id="36" w:name="_Toc27085365"/>
      <w:bookmarkStart w:id="37" w:name="_Toc86660219"/>
      <w:r w:rsidRPr="1699BAB1">
        <w:rPr>
          <w:rFonts w:eastAsiaTheme="minorEastAsia"/>
          <w:sz w:val="28"/>
          <w:szCs w:val="28"/>
        </w:rPr>
        <w:t>FREEDOM OF INFORMATION ACT 2000</w:t>
      </w:r>
      <w:bookmarkEnd w:id="36"/>
      <w:bookmarkEnd w:id="37"/>
    </w:p>
    <w:p w14:paraId="36A1AE80" w14:textId="77777777" w:rsidR="00671338" w:rsidRDefault="00671338" w:rsidP="00671338">
      <w:pPr>
        <w:pStyle w:val="ListParagraph"/>
        <w:keepNext/>
        <w:ind w:left="425"/>
        <w:jc w:val="both"/>
      </w:pPr>
      <w:r>
        <w:t xml:space="preserve">The Freedom of Information Act 2000 (FOIA) provides public access to information held by public authorities. It does this in two ways: </w:t>
      </w:r>
    </w:p>
    <w:p w14:paraId="73B03186" w14:textId="77777777" w:rsidR="00671338" w:rsidRDefault="00671338" w:rsidP="00671338">
      <w:pPr>
        <w:pStyle w:val="ListParagraph"/>
        <w:ind w:left="426"/>
        <w:jc w:val="both"/>
      </w:pPr>
    </w:p>
    <w:p w14:paraId="4968D764" w14:textId="77777777" w:rsidR="00671338" w:rsidRDefault="00671338" w:rsidP="00671338">
      <w:pPr>
        <w:numPr>
          <w:ilvl w:val="2"/>
          <w:numId w:val="4"/>
        </w:numPr>
        <w:ind w:hanging="383"/>
        <w:jc w:val="both"/>
      </w:pPr>
      <w:r>
        <w:t>public authorities are obliged to publish certain information about their activities;</w:t>
      </w:r>
    </w:p>
    <w:p w14:paraId="561BFEF4" w14:textId="77777777" w:rsidR="00671338" w:rsidRDefault="00671338" w:rsidP="00671338">
      <w:pPr>
        <w:numPr>
          <w:ilvl w:val="2"/>
          <w:numId w:val="4"/>
        </w:numPr>
        <w:ind w:hanging="383"/>
        <w:jc w:val="both"/>
      </w:pPr>
      <w:r>
        <w:t xml:space="preserve">members of the public are entitled to request information from public authorities. </w:t>
      </w:r>
    </w:p>
    <w:p w14:paraId="0B10B880" w14:textId="77777777" w:rsidR="00671338" w:rsidRDefault="00671338" w:rsidP="00671338">
      <w:pPr>
        <w:pStyle w:val="ListParagraph"/>
        <w:ind w:left="426"/>
        <w:jc w:val="both"/>
      </w:pPr>
    </w:p>
    <w:p w14:paraId="574C0029" w14:textId="280BA2DD" w:rsidR="00390134" w:rsidRDefault="00671338" w:rsidP="00DC16D8">
      <w:pPr>
        <w:pStyle w:val="ListParagraph"/>
        <w:ind w:left="426"/>
        <w:jc w:val="both"/>
      </w:pPr>
      <w:r>
        <w:t xml:space="preserve">In recognition of its FOIA duties, </w:t>
      </w:r>
      <w:r w:rsidR="005D31BE">
        <w:t>HIOWC</w:t>
      </w:r>
      <w:r>
        <w:t xml:space="preserve"> makes significant LFR information available via its website. This includes summary information relating to LFR Deployments including the Watchlist size, the total number of Alerts, positive action and incorrect identification numbers, arrests and disposal numbers and estimates of the total number of faces seen as people passed the LFR system. </w:t>
      </w:r>
      <w:r w:rsidR="001A3E22">
        <w:t xml:space="preserve">HIOWC </w:t>
      </w:r>
      <w:r>
        <w:t>will also be responsive to FOIA requests.</w:t>
      </w:r>
    </w:p>
    <w:p w14:paraId="698EE28B" w14:textId="46AF7F8F" w:rsidR="00390134" w:rsidRPr="0091488C" w:rsidRDefault="00390134" w:rsidP="00390134">
      <w:pPr>
        <w:pStyle w:val="Heading1"/>
        <w:ind w:left="425"/>
        <w:rPr>
          <w:rFonts w:eastAsiaTheme="minorHAnsi"/>
          <w:sz w:val="28"/>
          <w:szCs w:val="28"/>
        </w:rPr>
      </w:pPr>
      <w:bookmarkStart w:id="38" w:name="_Toc86660220"/>
      <w:r w:rsidRPr="0091488C">
        <w:rPr>
          <w:rFonts w:eastAsiaTheme="minorHAnsi"/>
          <w:sz w:val="28"/>
          <w:szCs w:val="28"/>
        </w:rPr>
        <w:lastRenderedPageBreak/>
        <w:t>Legal Framework and Governance Overview</w:t>
      </w:r>
      <w:bookmarkEnd w:id="38"/>
      <w:r w:rsidR="00A64908" w:rsidRPr="0091488C">
        <w:rPr>
          <w:rFonts w:eastAsiaTheme="minorHAnsi"/>
          <w:sz w:val="28"/>
          <w:szCs w:val="28"/>
        </w:rPr>
        <w:t xml:space="preserve"> – summary of existing legislation and related governance regards policing’s overt use of Live Facial Recognition Technology</w:t>
      </w:r>
    </w:p>
    <w:p w14:paraId="0594263A" w14:textId="77777777" w:rsidR="00E0370F" w:rsidRPr="00671338" w:rsidRDefault="00E0370F" w:rsidP="00E0370F">
      <w:pPr>
        <w:pStyle w:val="Heading1"/>
        <w:numPr>
          <w:ilvl w:val="0"/>
          <w:numId w:val="0"/>
        </w:numPr>
        <w:ind w:left="425"/>
        <w:rPr>
          <w:rFonts w:eastAsiaTheme="minorHAnsi"/>
          <w:sz w:val="22"/>
        </w:rPr>
      </w:pPr>
    </w:p>
    <w:p w14:paraId="2A6816D5" w14:textId="45AC1017" w:rsidR="00B17697" w:rsidRPr="00190AB2" w:rsidRDefault="00390134" w:rsidP="006D2491">
      <w:pPr>
        <w:jc w:val="both"/>
      </w:pPr>
      <w:r>
        <w:rPr>
          <w:noProof/>
          <w:lang w:eastAsia="en-GB"/>
        </w:rPr>
        <w:drawing>
          <wp:inline distT="0" distB="0" distL="0" distR="0" wp14:anchorId="76E4694D" wp14:editId="095193A5">
            <wp:extent cx="5731510" cy="3217582"/>
            <wp:effectExtent l="0" t="0" r="2540" b="1905"/>
            <wp:docPr id="2" name="Picture 2" descr="Legal Framework and Governance infographic: Summary of existing legislation and related governance regards policing’s overt use of Live Facial Recognition Technology. If you need this infographic in a more accessible format please contact: lfr@hampshire.police.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egal Framework and Governance infographic: Summary of existing legislation and related governance regards policing’s overt use of Live Facial Recognition Technology. If you need this infographic in a more accessible format please contact: lfr@hampshire.police.uk"/>
                    <pic:cNvPicPr/>
                  </pic:nvPicPr>
                  <pic:blipFill rotWithShape="1">
                    <a:blip r:embed="rId13">
                      <a:extLst>
                        <a:ext uri="{28A0092B-C50C-407E-A947-70E740481C1C}">
                          <a14:useLocalDpi xmlns:a14="http://schemas.microsoft.com/office/drawing/2010/main" val="0"/>
                        </a:ext>
                      </a:extLst>
                    </a:blip>
                    <a:srcRect t="499"/>
                    <a:stretch/>
                  </pic:blipFill>
                  <pic:spPr bwMode="auto">
                    <a:xfrm>
                      <a:off x="0" y="0"/>
                      <a:ext cx="5731510" cy="3217582"/>
                    </a:xfrm>
                    <a:prstGeom prst="rect">
                      <a:avLst/>
                    </a:prstGeom>
                    <a:ln>
                      <a:noFill/>
                    </a:ln>
                    <a:extLst>
                      <a:ext uri="{53640926-AAD7-44D8-BBD7-CCE9431645EC}">
                        <a14:shadowObscured xmlns:a14="http://schemas.microsoft.com/office/drawing/2010/main"/>
                      </a:ext>
                    </a:extLst>
                  </pic:spPr>
                </pic:pic>
              </a:graphicData>
            </a:graphic>
          </wp:inline>
        </w:drawing>
      </w:r>
    </w:p>
    <w:sectPr w:rsidR="00B17697" w:rsidRPr="00190AB2" w:rsidSect="00730C7A">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1C655" w14:textId="77777777" w:rsidR="0094402E" w:rsidRDefault="0094402E" w:rsidP="007D55F5">
      <w:pPr>
        <w:spacing w:after="0" w:line="240" w:lineRule="auto"/>
      </w:pPr>
      <w:r>
        <w:separator/>
      </w:r>
    </w:p>
  </w:endnote>
  <w:endnote w:type="continuationSeparator" w:id="0">
    <w:p w14:paraId="59504804" w14:textId="77777777" w:rsidR="0094402E" w:rsidRDefault="0094402E" w:rsidP="007D55F5">
      <w:pPr>
        <w:spacing w:after="0" w:line="240" w:lineRule="auto"/>
      </w:pPr>
      <w:r>
        <w:continuationSeparator/>
      </w:r>
    </w:p>
  </w:endnote>
  <w:endnote w:type="continuationNotice" w:id="1">
    <w:p w14:paraId="0F4B0F3C" w14:textId="77777777" w:rsidR="0094402E" w:rsidRDefault="009440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953D8" w14:textId="77777777" w:rsidR="0094402E" w:rsidRDefault="0094402E" w:rsidP="007D55F5">
      <w:pPr>
        <w:spacing w:after="0" w:line="240" w:lineRule="auto"/>
      </w:pPr>
      <w:r>
        <w:separator/>
      </w:r>
    </w:p>
  </w:footnote>
  <w:footnote w:type="continuationSeparator" w:id="0">
    <w:p w14:paraId="5131DFBB" w14:textId="77777777" w:rsidR="0094402E" w:rsidRDefault="0094402E" w:rsidP="007D55F5">
      <w:pPr>
        <w:spacing w:after="0" w:line="240" w:lineRule="auto"/>
      </w:pPr>
      <w:r>
        <w:continuationSeparator/>
      </w:r>
    </w:p>
  </w:footnote>
  <w:footnote w:type="continuationNotice" w:id="1">
    <w:p w14:paraId="7EC00263" w14:textId="77777777" w:rsidR="0094402E" w:rsidRDefault="0094402E">
      <w:pPr>
        <w:spacing w:after="0" w:line="240" w:lineRule="auto"/>
      </w:pPr>
    </w:p>
  </w:footnote>
  <w:footnote w:id="2">
    <w:p w14:paraId="1C9A0EFB" w14:textId="77777777" w:rsidR="002A5F5C" w:rsidRDefault="002A5F5C" w:rsidP="00E7457A">
      <w:pPr>
        <w:pStyle w:val="FootnoteText"/>
      </w:pPr>
      <w:r>
        <w:rPr>
          <w:rStyle w:val="FootnoteReference"/>
        </w:rPr>
        <w:footnoteRef/>
      </w:r>
      <w:r>
        <w:t xml:space="preserve"> </w:t>
      </w:r>
      <w:r>
        <w:rPr>
          <w:i/>
        </w:rPr>
        <w:t>(2009) 48 EHRR 50, at [66 and 67]</w:t>
      </w:r>
    </w:p>
  </w:footnote>
  <w:footnote w:id="3">
    <w:p w14:paraId="5D3D75DE" w14:textId="77777777" w:rsidR="002A5F5C" w:rsidRDefault="002A5F5C" w:rsidP="00E7457A">
      <w:pPr>
        <w:pStyle w:val="FootnoteText"/>
        <w:rPr>
          <w:i/>
        </w:rPr>
      </w:pPr>
      <w:r>
        <w:rPr>
          <w:rStyle w:val="FootnoteReference"/>
        </w:rPr>
        <w:footnoteRef/>
      </w:r>
      <w:r>
        <w:t xml:space="preserve"> </w:t>
      </w:r>
      <w:r>
        <w:rPr>
          <w:i/>
        </w:rPr>
        <w:t>At [104]</w:t>
      </w:r>
    </w:p>
  </w:footnote>
  <w:footnote w:id="4">
    <w:p w14:paraId="6C49CF75" w14:textId="2086C55A" w:rsidR="002A5F5C" w:rsidRDefault="002A5F5C">
      <w:pPr>
        <w:pStyle w:val="FootnoteText"/>
      </w:pPr>
      <w:r>
        <w:rPr>
          <w:rStyle w:val="FootnoteReference"/>
        </w:rPr>
        <w:footnoteRef/>
      </w:r>
      <w:r>
        <w:t xml:space="preserve"> </w:t>
      </w:r>
      <w:r w:rsidRPr="00224F1D">
        <w:t>Glukhin v Russia (Application no. 11519/20), 04 July 2023</w:t>
      </w:r>
    </w:p>
  </w:footnote>
  <w:footnote w:id="5">
    <w:p w14:paraId="6C0108BB" w14:textId="77777777" w:rsidR="002A5F5C" w:rsidRPr="00C13317" w:rsidRDefault="002A5F5C" w:rsidP="00E7457A">
      <w:pPr>
        <w:pStyle w:val="FootnoteText"/>
        <w:rPr>
          <w:color w:val="000000" w:themeColor="text1"/>
        </w:rPr>
      </w:pPr>
      <w:r>
        <w:rPr>
          <w:rStyle w:val="FootnoteReference"/>
        </w:rPr>
        <w:footnoteRef/>
      </w:r>
      <w:r>
        <w:t xml:space="preserve"> </w:t>
      </w:r>
      <w:r w:rsidRPr="00C13317">
        <w:t>R (</w:t>
      </w:r>
      <w:hyperlink r:id="rId1" w:history="1">
        <w:r w:rsidRPr="00C13317">
          <w:rPr>
            <w:rStyle w:val="Hyperlink"/>
            <w:i/>
            <w:color w:val="000000" w:themeColor="text1"/>
            <w:u w:val="none"/>
          </w:rPr>
          <w:t>Catt) v Association of Chief Police Officers [2015] A.C. 1065</w:t>
        </w:r>
      </w:hyperlink>
      <w:r w:rsidRPr="00C13317">
        <w:rPr>
          <w:color w:val="000000" w:themeColor="text1"/>
        </w:rPr>
        <w:t xml:space="preserve"> at [11].</w:t>
      </w:r>
    </w:p>
  </w:footnote>
  <w:footnote w:id="6">
    <w:p w14:paraId="7EB8E18B" w14:textId="77777777" w:rsidR="002A5F5C" w:rsidRPr="00C13317" w:rsidRDefault="002A5F5C" w:rsidP="00E7457A">
      <w:pPr>
        <w:pStyle w:val="FootnoteText"/>
        <w:rPr>
          <w:i/>
          <w:color w:val="000000" w:themeColor="text1"/>
        </w:rPr>
      </w:pPr>
      <w:r w:rsidRPr="00C13317">
        <w:rPr>
          <w:rStyle w:val="FootnoteReference"/>
          <w:color w:val="000000" w:themeColor="text1"/>
        </w:rPr>
        <w:footnoteRef/>
      </w:r>
      <w:r w:rsidRPr="00C13317">
        <w:rPr>
          <w:color w:val="000000" w:themeColor="text1"/>
        </w:rPr>
        <w:t xml:space="preserve"> Per Laws J in </w:t>
      </w:r>
      <w:r w:rsidRPr="00C13317">
        <w:rPr>
          <w:i/>
          <w:color w:val="000000" w:themeColor="text1"/>
        </w:rPr>
        <w:t>Hellewell v Chief Constable of Derbyshire [1995] 1 WLR 804 at 810F</w:t>
      </w:r>
    </w:p>
  </w:footnote>
  <w:footnote w:id="7">
    <w:p w14:paraId="15B19C31" w14:textId="77777777" w:rsidR="002A5F5C" w:rsidRDefault="002A5F5C" w:rsidP="00E7457A">
      <w:pPr>
        <w:pStyle w:val="FootnoteText"/>
      </w:pPr>
      <w:r w:rsidRPr="00C13317">
        <w:rPr>
          <w:rStyle w:val="FootnoteReference"/>
          <w:color w:val="000000" w:themeColor="text1"/>
        </w:rPr>
        <w:footnoteRef/>
      </w:r>
      <w:r w:rsidRPr="00C13317">
        <w:rPr>
          <w:color w:val="000000" w:themeColor="text1"/>
        </w:rPr>
        <w:t xml:space="preserve"> </w:t>
      </w:r>
      <w:r w:rsidRPr="00C13317">
        <w:rPr>
          <w:i/>
          <w:color w:val="000000" w:themeColor="text1"/>
        </w:rPr>
        <w:t>At [69].</w:t>
      </w:r>
    </w:p>
  </w:footnote>
  <w:footnote w:id="8">
    <w:p w14:paraId="5FEF46C6" w14:textId="77777777" w:rsidR="002A5F5C" w:rsidRDefault="002A5F5C" w:rsidP="00E7457A">
      <w:pPr>
        <w:pStyle w:val="FootnoteText"/>
        <w:rPr>
          <w:i/>
        </w:rPr>
      </w:pPr>
      <w:r>
        <w:rPr>
          <w:rStyle w:val="FootnoteReference"/>
        </w:rPr>
        <w:footnoteRef/>
      </w:r>
      <w:r>
        <w:t xml:space="preserve"> </w:t>
      </w:r>
      <w:r>
        <w:rPr>
          <w:i/>
        </w:rPr>
        <w:t>At [95].</w:t>
      </w:r>
    </w:p>
  </w:footnote>
  <w:footnote w:id="9">
    <w:p w14:paraId="68EA18D8" w14:textId="77777777" w:rsidR="002A5F5C" w:rsidRDefault="002A5F5C" w:rsidP="003021B0">
      <w:pPr>
        <w:pStyle w:val="FootnoteText"/>
        <w:rPr>
          <w:i/>
        </w:rPr>
      </w:pPr>
      <w:r>
        <w:rPr>
          <w:rStyle w:val="FootnoteReference"/>
        </w:rPr>
        <w:footnoteRef/>
      </w:r>
      <w:r>
        <w:t xml:space="preserve"> </w:t>
      </w:r>
      <w:r>
        <w:rPr>
          <w:i/>
        </w:rPr>
        <w:t>At [118].,</w:t>
      </w:r>
    </w:p>
  </w:footnote>
  <w:footnote w:id="10">
    <w:p w14:paraId="596CD9DB" w14:textId="77777777" w:rsidR="002A5F5C" w:rsidRDefault="002A5F5C" w:rsidP="00B42F6F">
      <w:pPr>
        <w:pStyle w:val="FootnoteText"/>
      </w:pPr>
      <w:r>
        <w:rPr>
          <w:rStyle w:val="FootnoteReference"/>
        </w:rPr>
        <w:footnoteRef/>
      </w:r>
      <w:r>
        <w:t xml:space="preserve"> [1999] 1 F.L.R. 193 (ECtHR)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0D71"/>
    <w:multiLevelType w:val="hybridMultilevel"/>
    <w:tmpl w:val="9C7CCA6C"/>
    <w:lvl w:ilvl="0" w:tplc="2A821E76">
      <w:start w:val="1"/>
      <w:numFmt w:val="decimal"/>
      <w:lvlText w:val="%1."/>
      <w:lvlJc w:val="left"/>
      <w:pPr>
        <w:ind w:left="720" w:hanging="360"/>
      </w:pPr>
    </w:lvl>
    <w:lvl w:ilvl="1" w:tplc="F88CC508">
      <w:start w:val="1"/>
      <w:numFmt w:val="lowerLetter"/>
      <w:lvlText w:val="%2."/>
      <w:lvlJc w:val="left"/>
      <w:pPr>
        <w:ind w:left="1440" w:hanging="360"/>
      </w:pPr>
    </w:lvl>
    <w:lvl w:ilvl="2" w:tplc="59243866">
      <w:start w:val="1"/>
      <w:numFmt w:val="lowerLetter"/>
      <w:lvlText w:val="%3)"/>
      <w:lvlJc w:val="left"/>
      <w:pPr>
        <w:ind w:left="2160" w:hanging="180"/>
      </w:pPr>
    </w:lvl>
    <w:lvl w:ilvl="3" w:tplc="2730D2BA">
      <w:start w:val="1"/>
      <w:numFmt w:val="decimal"/>
      <w:lvlText w:val="%4."/>
      <w:lvlJc w:val="left"/>
      <w:pPr>
        <w:ind w:left="2880" w:hanging="360"/>
      </w:pPr>
    </w:lvl>
    <w:lvl w:ilvl="4" w:tplc="C526E66A">
      <w:start w:val="1"/>
      <w:numFmt w:val="lowerLetter"/>
      <w:lvlText w:val="%5."/>
      <w:lvlJc w:val="left"/>
      <w:pPr>
        <w:ind w:left="3600" w:hanging="360"/>
      </w:pPr>
    </w:lvl>
    <w:lvl w:ilvl="5" w:tplc="026097CC">
      <w:start w:val="1"/>
      <w:numFmt w:val="lowerRoman"/>
      <w:lvlText w:val="%6."/>
      <w:lvlJc w:val="right"/>
      <w:pPr>
        <w:ind w:left="4320" w:hanging="180"/>
      </w:pPr>
    </w:lvl>
    <w:lvl w:ilvl="6" w:tplc="04F20A84">
      <w:start w:val="1"/>
      <w:numFmt w:val="decimal"/>
      <w:lvlText w:val="%7."/>
      <w:lvlJc w:val="left"/>
      <w:pPr>
        <w:ind w:left="5040" w:hanging="360"/>
      </w:pPr>
    </w:lvl>
    <w:lvl w:ilvl="7" w:tplc="D4FE8CD0">
      <w:start w:val="1"/>
      <w:numFmt w:val="lowerLetter"/>
      <w:lvlText w:val="%8."/>
      <w:lvlJc w:val="left"/>
      <w:pPr>
        <w:ind w:left="5760" w:hanging="360"/>
      </w:pPr>
    </w:lvl>
    <w:lvl w:ilvl="8" w:tplc="7FEE5BAA">
      <w:start w:val="1"/>
      <w:numFmt w:val="lowerRoman"/>
      <w:lvlText w:val="%9."/>
      <w:lvlJc w:val="right"/>
      <w:pPr>
        <w:ind w:left="6480" w:hanging="180"/>
      </w:pPr>
    </w:lvl>
  </w:abstractNum>
  <w:abstractNum w:abstractNumId="1" w15:restartNumberingAfterBreak="0">
    <w:nsid w:val="024675FD"/>
    <w:multiLevelType w:val="hybridMultilevel"/>
    <w:tmpl w:val="A2169582"/>
    <w:lvl w:ilvl="0" w:tplc="F93C09C8">
      <w:start w:val="1"/>
      <w:numFmt w:val="lowerLetter"/>
      <w:lvlText w:val="%1)"/>
      <w:lvlJc w:val="left"/>
      <w:pPr>
        <w:ind w:left="1440" w:hanging="360"/>
      </w:pPr>
    </w:lvl>
    <w:lvl w:ilvl="1" w:tplc="AF58557E" w:tentative="1">
      <w:start w:val="1"/>
      <w:numFmt w:val="lowerLetter"/>
      <w:lvlText w:val="%2."/>
      <w:lvlJc w:val="left"/>
      <w:pPr>
        <w:ind w:left="2160" w:hanging="360"/>
      </w:pPr>
    </w:lvl>
    <w:lvl w:ilvl="2" w:tplc="3B6C0B48" w:tentative="1">
      <w:start w:val="1"/>
      <w:numFmt w:val="lowerRoman"/>
      <w:lvlText w:val="%3."/>
      <w:lvlJc w:val="right"/>
      <w:pPr>
        <w:ind w:left="2880" w:hanging="180"/>
      </w:pPr>
    </w:lvl>
    <w:lvl w:ilvl="3" w:tplc="2D30E928" w:tentative="1">
      <w:start w:val="1"/>
      <w:numFmt w:val="decimal"/>
      <w:lvlText w:val="%4."/>
      <w:lvlJc w:val="left"/>
      <w:pPr>
        <w:ind w:left="3600" w:hanging="360"/>
      </w:pPr>
    </w:lvl>
    <w:lvl w:ilvl="4" w:tplc="5246CFF0" w:tentative="1">
      <w:start w:val="1"/>
      <w:numFmt w:val="lowerLetter"/>
      <w:lvlText w:val="%5."/>
      <w:lvlJc w:val="left"/>
      <w:pPr>
        <w:ind w:left="4320" w:hanging="360"/>
      </w:pPr>
    </w:lvl>
    <w:lvl w:ilvl="5" w:tplc="E1E80F7C" w:tentative="1">
      <w:start w:val="1"/>
      <w:numFmt w:val="lowerRoman"/>
      <w:lvlText w:val="%6."/>
      <w:lvlJc w:val="right"/>
      <w:pPr>
        <w:ind w:left="5040" w:hanging="180"/>
      </w:pPr>
    </w:lvl>
    <w:lvl w:ilvl="6" w:tplc="65DC1278" w:tentative="1">
      <w:start w:val="1"/>
      <w:numFmt w:val="decimal"/>
      <w:lvlText w:val="%7."/>
      <w:lvlJc w:val="left"/>
      <w:pPr>
        <w:ind w:left="5760" w:hanging="360"/>
      </w:pPr>
    </w:lvl>
    <w:lvl w:ilvl="7" w:tplc="F306EE70" w:tentative="1">
      <w:start w:val="1"/>
      <w:numFmt w:val="lowerLetter"/>
      <w:lvlText w:val="%8."/>
      <w:lvlJc w:val="left"/>
      <w:pPr>
        <w:ind w:left="6480" w:hanging="360"/>
      </w:pPr>
    </w:lvl>
    <w:lvl w:ilvl="8" w:tplc="D36C53B6" w:tentative="1">
      <w:start w:val="1"/>
      <w:numFmt w:val="lowerRoman"/>
      <w:lvlText w:val="%9."/>
      <w:lvlJc w:val="right"/>
      <w:pPr>
        <w:ind w:left="7200" w:hanging="180"/>
      </w:pPr>
    </w:lvl>
  </w:abstractNum>
  <w:abstractNum w:abstractNumId="2" w15:restartNumberingAfterBreak="0">
    <w:nsid w:val="07242D72"/>
    <w:multiLevelType w:val="hybridMultilevel"/>
    <w:tmpl w:val="1F463DA0"/>
    <w:lvl w:ilvl="0" w:tplc="749E3BBE">
      <w:start w:val="1"/>
      <w:numFmt w:val="lowerLetter"/>
      <w:lvlText w:val="%1)"/>
      <w:lvlJc w:val="left"/>
      <w:pPr>
        <w:ind w:left="1440" w:hanging="360"/>
      </w:pPr>
    </w:lvl>
    <w:lvl w:ilvl="1" w:tplc="66E837F0" w:tentative="1">
      <w:start w:val="1"/>
      <w:numFmt w:val="lowerLetter"/>
      <w:lvlText w:val="%2."/>
      <w:lvlJc w:val="left"/>
      <w:pPr>
        <w:ind w:left="2160" w:hanging="360"/>
      </w:pPr>
    </w:lvl>
    <w:lvl w:ilvl="2" w:tplc="5BBEE066" w:tentative="1">
      <w:start w:val="1"/>
      <w:numFmt w:val="lowerRoman"/>
      <w:lvlText w:val="%3."/>
      <w:lvlJc w:val="right"/>
      <w:pPr>
        <w:ind w:left="2880" w:hanging="180"/>
      </w:pPr>
    </w:lvl>
    <w:lvl w:ilvl="3" w:tplc="608C41BA" w:tentative="1">
      <w:start w:val="1"/>
      <w:numFmt w:val="decimal"/>
      <w:lvlText w:val="%4."/>
      <w:lvlJc w:val="left"/>
      <w:pPr>
        <w:ind w:left="3600" w:hanging="360"/>
      </w:pPr>
    </w:lvl>
    <w:lvl w:ilvl="4" w:tplc="DF4ABEF0" w:tentative="1">
      <w:start w:val="1"/>
      <w:numFmt w:val="lowerLetter"/>
      <w:lvlText w:val="%5."/>
      <w:lvlJc w:val="left"/>
      <w:pPr>
        <w:ind w:left="4320" w:hanging="360"/>
      </w:pPr>
    </w:lvl>
    <w:lvl w:ilvl="5" w:tplc="86563378" w:tentative="1">
      <w:start w:val="1"/>
      <w:numFmt w:val="lowerRoman"/>
      <w:lvlText w:val="%6."/>
      <w:lvlJc w:val="right"/>
      <w:pPr>
        <w:ind w:left="5040" w:hanging="180"/>
      </w:pPr>
    </w:lvl>
    <w:lvl w:ilvl="6" w:tplc="E6BE9766" w:tentative="1">
      <w:start w:val="1"/>
      <w:numFmt w:val="decimal"/>
      <w:lvlText w:val="%7."/>
      <w:lvlJc w:val="left"/>
      <w:pPr>
        <w:ind w:left="5760" w:hanging="360"/>
      </w:pPr>
    </w:lvl>
    <w:lvl w:ilvl="7" w:tplc="ABE867E6" w:tentative="1">
      <w:start w:val="1"/>
      <w:numFmt w:val="lowerLetter"/>
      <w:lvlText w:val="%8."/>
      <w:lvlJc w:val="left"/>
      <w:pPr>
        <w:ind w:left="6480" w:hanging="360"/>
      </w:pPr>
    </w:lvl>
    <w:lvl w:ilvl="8" w:tplc="67CA42E8" w:tentative="1">
      <w:start w:val="1"/>
      <w:numFmt w:val="lowerRoman"/>
      <w:lvlText w:val="%9."/>
      <w:lvlJc w:val="right"/>
      <w:pPr>
        <w:ind w:left="7200" w:hanging="180"/>
      </w:pPr>
    </w:lvl>
  </w:abstractNum>
  <w:abstractNum w:abstractNumId="3" w15:restartNumberingAfterBreak="0">
    <w:nsid w:val="089B61C3"/>
    <w:multiLevelType w:val="hybridMultilevel"/>
    <w:tmpl w:val="A684A83A"/>
    <w:lvl w:ilvl="0" w:tplc="E0BAB9EE">
      <w:start w:val="1"/>
      <w:numFmt w:val="decimal"/>
      <w:lvlText w:val="%1."/>
      <w:lvlJc w:val="left"/>
      <w:pPr>
        <w:ind w:left="1578" w:hanging="360"/>
      </w:pPr>
    </w:lvl>
    <w:lvl w:ilvl="1" w:tplc="4E1C19EC">
      <w:start w:val="1"/>
      <w:numFmt w:val="lowerLetter"/>
      <w:lvlText w:val="%2."/>
      <w:lvlJc w:val="left"/>
      <w:pPr>
        <w:ind w:left="2298" w:hanging="360"/>
      </w:pPr>
    </w:lvl>
    <w:lvl w:ilvl="2" w:tplc="E5FA3ADA">
      <w:start w:val="1"/>
      <w:numFmt w:val="lowerRoman"/>
      <w:lvlText w:val="%3."/>
      <w:lvlJc w:val="right"/>
      <w:pPr>
        <w:ind w:left="3018" w:hanging="180"/>
      </w:pPr>
    </w:lvl>
    <w:lvl w:ilvl="3" w:tplc="23DCF2EA">
      <w:start w:val="1"/>
      <w:numFmt w:val="decimal"/>
      <w:lvlText w:val="%4."/>
      <w:lvlJc w:val="left"/>
      <w:pPr>
        <w:ind w:left="3738" w:hanging="360"/>
      </w:pPr>
    </w:lvl>
    <w:lvl w:ilvl="4" w:tplc="7EDA0100">
      <w:start w:val="1"/>
      <w:numFmt w:val="lowerLetter"/>
      <w:lvlText w:val="%5."/>
      <w:lvlJc w:val="left"/>
      <w:pPr>
        <w:ind w:left="4458" w:hanging="360"/>
      </w:pPr>
    </w:lvl>
    <w:lvl w:ilvl="5" w:tplc="B6D49A10">
      <w:start w:val="1"/>
      <w:numFmt w:val="lowerRoman"/>
      <w:lvlText w:val="%6."/>
      <w:lvlJc w:val="right"/>
      <w:pPr>
        <w:ind w:left="5178" w:hanging="180"/>
      </w:pPr>
    </w:lvl>
    <w:lvl w:ilvl="6" w:tplc="E31A1416">
      <w:start w:val="1"/>
      <w:numFmt w:val="decimal"/>
      <w:lvlText w:val="%7."/>
      <w:lvlJc w:val="left"/>
      <w:pPr>
        <w:ind w:left="5898" w:hanging="360"/>
      </w:pPr>
    </w:lvl>
    <w:lvl w:ilvl="7" w:tplc="E84A1A88">
      <w:start w:val="1"/>
      <w:numFmt w:val="lowerLetter"/>
      <w:lvlText w:val="%8."/>
      <w:lvlJc w:val="left"/>
      <w:pPr>
        <w:ind w:left="6618" w:hanging="360"/>
      </w:pPr>
    </w:lvl>
    <w:lvl w:ilvl="8" w:tplc="2A4635C6">
      <w:start w:val="1"/>
      <w:numFmt w:val="lowerRoman"/>
      <w:lvlText w:val="%9."/>
      <w:lvlJc w:val="right"/>
      <w:pPr>
        <w:ind w:left="7338" w:hanging="180"/>
      </w:pPr>
    </w:lvl>
  </w:abstractNum>
  <w:abstractNum w:abstractNumId="4" w15:restartNumberingAfterBreak="0">
    <w:nsid w:val="09927454"/>
    <w:multiLevelType w:val="multilevel"/>
    <w:tmpl w:val="0D5CC702"/>
    <w:lvl w:ilvl="0">
      <w:start w:val="1"/>
      <w:numFmt w:val="decimal"/>
      <w:lvlText w:val="%1"/>
      <w:lvlJc w:val="left"/>
      <w:pPr>
        <w:ind w:left="432" w:hanging="432"/>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14BC2BBD"/>
    <w:multiLevelType w:val="hybridMultilevel"/>
    <w:tmpl w:val="780CF382"/>
    <w:lvl w:ilvl="0" w:tplc="FFFFFFFF">
      <w:start w:val="1"/>
      <w:numFmt w:val="lowerLetter"/>
      <w:pStyle w:val="Subtitle"/>
      <w:lvlText w:val="%1)"/>
      <w:lvlJc w:val="left"/>
      <w:pPr>
        <w:ind w:left="851" w:hanging="360"/>
      </w:pPr>
    </w:lvl>
    <w:lvl w:ilvl="1" w:tplc="03CABB74">
      <w:start w:val="1"/>
      <w:numFmt w:val="lowerLetter"/>
      <w:lvlText w:val="%2."/>
      <w:lvlJc w:val="left"/>
      <w:pPr>
        <w:ind w:left="1571" w:hanging="360"/>
      </w:pPr>
    </w:lvl>
    <w:lvl w:ilvl="2" w:tplc="DEE47212">
      <w:start w:val="1"/>
      <w:numFmt w:val="lowerRoman"/>
      <w:lvlText w:val="%3."/>
      <w:lvlJc w:val="right"/>
      <w:pPr>
        <w:ind w:left="2291" w:hanging="180"/>
      </w:pPr>
    </w:lvl>
    <w:lvl w:ilvl="3" w:tplc="BA48F0C2">
      <w:start w:val="1"/>
      <w:numFmt w:val="decimal"/>
      <w:lvlText w:val="%4."/>
      <w:lvlJc w:val="left"/>
      <w:pPr>
        <w:ind w:left="3011" w:hanging="360"/>
      </w:pPr>
    </w:lvl>
    <w:lvl w:ilvl="4" w:tplc="D3562498">
      <w:start w:val="1"/>
      <w:numFmt w:val="lowerLetter"/>
      <w:lvlText w:val="%5."/>
      <w:lvlJc w:val="left"/>
      <w:pPr>
        <w:ind w:left="3731" w:hanging="360"/>
      </w:pPr>
    </w:lvl>
    <w:lvl w:ilvl="5" w:tplc="5BC2A1B6">
      <w:start w:val="1"/>
      <w:numFmt w:val="lowerRoman"/>
      <w:lvlText w:val="%6."/>
      <w:lvlJc w:val="right"/>
      <w:pPr>
        <w:ind w:left="4451" w:hanging="180"/>
      </w:pPr>
    </w:lvl>
    <w:lvl w:ilvl="6" w:tplc="5BEE4986">
      <w:start w:val="1"/>
      <w:numFmt w:val="decimal"/>
      <w:lvlText w:val="%7."/>
      <w:lvlJc w:val="left"/>
      <w:pPr>
        <w:ind w:left="5171" w:hanging="360"/>
      </w:pPr>
    </w:lvl>
    <w:lvl w:ilvl="7" w:tplc="1D84AF90">
      <w:start w:val="1"/>
      <w:numFmt w:val="lowerLetter"/>
      <w:lvlText w:val="%8."/>
      <w:lvlJc w:val="left"/>
      <w:pPr>
        <w:ind w:left="5891" w:hanging="360"/>
      </w:pPr>
    </w:lvl>
    <w:lvl w:ilvl="8" w:tplc="B768BDFE">
      <w:start w:val="1"/>
      <w:numFmt w:val="lowerRoman"/>
      <w:lvlText w:val="%9."/>
      <w:lvlJc w:val="right"/>
      <w:pPr>
        <w:ind w:left="6611" w:hanging="180"/>
      </w:pPr>
    </w:lvl>
  </w:abstractNum>
  <w:abstractNum w:abstractNumId="6" w15:restartNumberingAfterBreak="0">
    <w:nsid w:val="16306FDD"/>
    <w:multiLevelType w:val="hybridMultilevel"/>
    <w:tmpl w:val="04EAECC0"/>
    <w:lvl w:ilvl="0" w:tplc="3F28428E">
      <w:start w:val="1"/>
      <w:numFmt w:val="bullet"/>
      <w:lvlText w:val=""/>
      <w:lvlJc w:val="left"/>
      <w:pPr>
        <w:ind w:left="1080" w:hanging="360"/>
      </w:pPr>
      <w:rPr>
        <w:rFonts w:ascii="Symbol" w:hAnsi="Symbol" w:hint="default"/>
      </w:rPr>
    </w:lvl>
    <w:lvl w:ilvl="1" w:tplc="A39C4158">
      <w:start w:val="1"/>
      <w:numFmt w:val="bullet"/>
      <w:lvlText w:val="o"/>
      <w:lvlJc w:val="left"/>
      <w:pPr>
        <w:ind w:left="1800" w:hanging="360"/>
      </w:pPr>
      <w:rPr>
        <w:rFonts w:ascii="Courier New" w:hAnsi="Courier New" w:hint="default"/>
      </w:rPr>
    </w:lvl>
    <w:lvl w:ilvl="2" w:tplc="30847CC4">
      <w:start w:val="1"/>
      <w:numFmt w:val="bullet"/>
      <w:lvlText w:val=""/>
      <w:lvlJc w:val="left"/>
      <w:pPr>
        <w:ind w:left="2520" w:hanging="360"/>
      </w:pPr>
      <w:rPr>
        <w:rFonts w:ascii="Wingdings" w:hAnsi="Wingdings" w:hint="default"/>
      </w:rPr>
    </w:lvl>
    <w:lvl w:ilvl="3" w:tplc="F13E950E">
      <w:start w:val="1"/>
      <w:numFmt w:val="bullet"/>
      <w:lvlText w:val=""/>
      <w:lvlJc w:val="left"/>
      <w:pPr>
        <w:ind w:left="3240" w:hanging="360"/>
      </w:pPr>
      <w:rPr>
        <w:rFonts w:ascii="Symbol" w:hAnsi="Symbol" w:hint="default"/>
      </w:rPr>
    </w:lvl>
    <w:lvl w:ilvl="4" w:tplc="AE1CDED0">
      <w:start w:val="1"/>
      <w:numFmt w:val="bullet"/>
      <w:lvlText w:val="o"/>
      <w:lvlJc w:val="left"/>
      <w:pPr>
        <w:ind w:left="3960" w:hanging="360"/>
      </w:pPr>
      <w:rPr>
        <w:rFonts w:ascii="Courier New" w:hAnsi="Courier New" w:hint="default"/>
      </w:rPr>
    </w:lvl>
    <w:lvl w:ilvl="5" w:tplc="6194EEF2">
      <w:start w:val="1"/>
      <w:numFmt w:val="bullet"/>
      <w:lvlText w:val=""/>
      <w:lvlJc w:val="left"/>
      <w:pPr>
        <w:ind w:left="4680" w:hanging="360"/>
      </w:pPr>
      <w:rPr>
        <w:rFonts w:ascii="Wingdings" w:hAnsi="Wingdings" w:hint="default"/>
      </w:rPr>
    </w:lvl>
    <w:lvl w:ilvl="6" w:tplc="599E8FF4">
      <w:start w:val="1"/>
      <w:numFmt w:val="bullet"/>
      <w:lvlText w:val=""/>
      <w:lvlJc w:val="left"/>
      <w:pPr>
        <w:ind w:left="5400" w:hanging="360"/>
      </w:pPr>
      <w:rPr>
        <w:rFonts w:ascii="Symbol" w:hAnsi="Symbol" w:hint="default"/>
      </w:rPr>
    </w:lvl>
    <w:lvl w:ilvl="7" w:tplc="2C3C42C0">
      <w:start w:val="1"/>
      <w:numFmt w:val="bullet"/>
      <w:lvlText w:val="o"/>
      <w:lvlJc w:val="left"/>
      <w:pPr>
        <w:ind w:left="6120" w:hanging="360"/>
      </w:pPr>
      <w:rPr>
        <w:rFonts w:ascii="Courier New" w:hAnsi="Courier New" w:hint="default"/>
      </w:rPr>
    </w:lvl>
    <w:lvl w:ilvl="8" w:tplc="10E22B66">
      <w:start w:val="1"/>
      <w:numFmt w:val="bullet"/>
      <w:lvlText w:val=""/>
      <w:lvlJc w:val="left"/>
      <w:pPr>
        <w:ind w:left="6840" w:hanging="360"/>
      </w:pPr>
      <w:rPr>
        <w:rFonts w:ascii="Wingdings" w:hAnsi="Wingdings" w:hint="default"/>
      </w:rPr>
    </w:lvl>
  </w:abstractNum>
  <w:abstractNum w:abstractNumId="7" w15:restartNumberingAfterBreak="0">
    <w:nsid w:val="1BC6285A"/>
    <w:multiLevelType w:val="hybridMultilevel"/>
    <w:tmpl w:val="C4DEEB5A"/>
    <w:lvl w:ilvl="0" w:tplc="F4BA4860">
      <w:start w:val="1"/>
      <w:numFmt w:val="lowerLetter"/>
      <w:lvlText w:val="%1."/>
      <w:lvlJc w:val="left"/>
      <w:pPr>
        <w:ind w:left="786" w:hanging="360"/>
      </w:pPr>
    </w:lvl>
    <w:lvl w:ilvl="1" w:tplc="F55A1F8A" w:tentative="1">
      <w:start w:val="1"/>
      <w:numFmt w:val="lowerLetter"/>
      <w:lvlText w:val="%2."/>
      <w:lvlJc w:val="left"/>
      <w:pPr>
        <w:ind w:left="1506" w:hanging="360"/>
      </w:pPr>
    </w:lvl>
    <w:lvl w:ilvl="2" w:tplc="5688F9CA" w:tentative="1">
      <w:start w:val="1"/>
      <w:numFmt w:val="lowerRoman"/>
      <w:lvlText w:val="%3."/>
      <w:lvlJc w:val="right"/>
      <w:pPr>
        <w:ind w:left="2226" w:hanging="180"/>
      </w:pPr>
    </w:lvl>
    <w:lvl w:ilvl="3" w:tplc="6CD6CA48" w:tentative="1">
      <w:start w:val="1"/>
      <w:numFmt w:val="decimal"/>
      <w:lvlText w:val="%4."/>
      <w:lvlJc w:val="left"/>
      <w:pPr>
        <w:ind w:left="2946" w:hanging="360"/>
      </w:pPr>
    </w:lvl>
    <w:lvl w:ilvl="4" w:tplc="B77EFC18" w:tentative="1">
      <w:start w:val="1"/>
      <w:numFmt w:val="lowerLetter"/>
      <w:lvlText w:val="%5."/>
      <w:lvlJc w:val="left"/>
      <w:pPr>
        <w:ind w:left="3666" w:hanging="360"/>
      </w:pPr>
    </w:lvl>
    <w:lvl w:ilvl="5" w:tplc="CECE4E92" w:tentative="1">
      <w:start w:val="1"/>
      <w:numFmt w:val="lowerRoman"/>
      <w:lvlText w:val="%6."/>
      <w:lvlJc w:val="right"/>
      <w:pPr>
        <w:ind w:left="4386" w:hanging="180"/>
      </w:pPr>
    </w:lvl>
    <w:lvl w:ilvl="6" w:tplc="AFEEBFAA" w:tentative="1">
      <w:start w:val="1"/>
      <w:numFmt w:val="decimal"/>
      <w:lvlText w:val="%7."/>
      <w:lvlJc w:val="left"/>
      <w:pPr>
        <w:ind w:left="5106" w:hanging="360"/>
      </w:pPr>
    </w:lvl>
    <w:lvl w:ilvl="7" w:tplc="854EA060" w:tentative="1">
      <w:start w:val="1"/>
      <w:numFmt w:val="lowerLetter"/>
      <w:lvlText w:val="%8."/>
      <w:lvlJc w:val="left"/>
      <w:pPr>
        <w:ind w:left="5826" w:hanging="360"/>
      </w:pPr>
    </w:lvl>
    <w:lvl w:ilvl="8" w:tplc="075EECC0" w:tentative="1">
      <w:start w:val="1"/>
      <w:numFmt w:val="lowerRoman"/>
      <w:lvlText w:val="%9."/>
      <w:lvlJc w:val="right"/>
      <w:pPr>
        <w:ind w:left="6546" w:hanging="180"/>
      </w:pPr>
    </w:lvl>
  </w:abstractNum>
  <w:abstractNum w:abstractNumId="8" w15:restartNumberingAfterBreak="0">
    <w:nsid w:val="1C787169"/>
    <w:multiLevelType w:val="hybridMultilevel"/>
    <w:tmpl w:val="3A704692"/>
    <w:lvl w:ilvl="0" w:tplc="7EDEA4D6">
      <w:start w:val="1"/>
      <w:numFmt w:val="lowerLetter"/>
      <w:lvlText w:val="%1."/>
      <w:lvlJc w:val="left"/>
      <w:pPr>
        <w:ind w:left="720" w:hanging="360"/>
      </w:pPr>
    </w:lvl>
    <w:lvl w:ilvl="1" w:tplc="31AA8CAE" w:tentative="1">
      <w:start w:val="1"/>
      <w:numFmt w:val="lowerLetter"/>
      <w:lvlText w:val="%2."/>
      <w:lvlJc w:val="left"/>
      <w:pPr>
        <w:ind w:left="1440" w:hanging="360"/>
      </w:pPr>
    </w:lvl>
    <w:lvl w:ilvl="2" w:tplc="77A8CDB0" w:tentative="1">
      <w:start w:val="1"/>
      <w:numFmt w:val="lowerRoman"/>
      <w:lvlText w:val="%3."/>
      <w:lvlJc w:val="right"/>
      <w:pPr>
        <w:ind w:left="2160" w:hanging="180"/>
      </w:pPr>
    </w:lvl>
    <w:lvl w:ilvl="3" w:tplc="695C8064" w:tentative="1">
      <w:start w:val="1"/>
      <w:numFmt w:val="decimal"/>
      <w:lvlText w:val="%4."/>
      <w:lvlJc w:val="left"/>
      <w:pPr>
        <w:ind w:left="2880" w:hanging="360"/>
      </w:pPr>
    </w:lvl>
    <w:lvl w:ilvl="4" w:tplc="E750669A" w:tentative="1">
      <w:start w:val="1"/>
      <w:numFmt w:val="lowerLetter"/>
      <w:lvlText w:val="%5."/>
      <w:lvlJc w:val="left"/>
      <w:pPr>
        <w:ind w:left="3600" w:hanging="360"/>
      </w:pPr>
    </w:lvl>
    <w:lvl w:ilvl="5" w:tplc="98F2FCC6" w:tentative="1">
      <w:start w:val="1"/>
      <w:numFmt w:val="lowerRoman"/>
      <w:lvlText w:val="%6."/>
      <w:lvlJc w:val="right"/>
      <w:pPr>
        <w:ind w:left="4320" w:hanging="180"/>
      </w:pPr>
    </w:lvl>
    <w:lvl w:ilvl="6" w:tplc="FB06D2D4" w:tentative="1">
      <w:start w:val="1"/>
      <w:numFmt w:val="decimal"/>
      <w:lvlText w:val="%7."/>
      <w:lvlJc w:val="left"/>
      <w:pPr>
        <w:ind w:left="5040" w:hanging="360"/>
      </w:pPr>
    </w:lvl>
    <w:lvl w:ilvl="7" w:tplc="93DCD428" w:tentative="1">
      <w:start w:val="1"/>
      <w:numFmt w:val="lowerLetter"/>
      <w:lvlText w:val="%8."/>
      <w:lvlJc w:val="left"/>
      <w:pPr>
        <w:ind w:left="5760" w:hanging="360"/>
      </w:pPr>
    </w:lvl>
    <w:lvl w:ilvl="8" w:tplc="A2F0805E" w:tentative="1">
      <w:start w:val="1"/>
      <w:numFmt w:val="lowerRoman"/>
      <w:lvlText w:val="%9."/>
      <w:lvlJc w:val="right"/>
      <w:pPr>
        <w:ind w:left="6480" w:hanging="180"/>
      </w:pPr>
    </w:lvl>
  </w:abstractNum>
  <w:abstractNum w:abstractNumId="9" w15:restartNumberingAfterBreak="0">
    <w:nsid w:val="1DCE18C3"/>
    <w:multiLevelType w:val="hybridMultilevel"/>
    <w:tmpl w:val="82427BAA"/>
    <w:lvl w:ilvl="0" w:tplc="804A0D50">
      <w:start w:val="1"/>
      <w:numFmt w:val="lowerLetter"/>
      <w:lvlText w:val="%1)"/>
      <w:lvlJc w:val="left"/>
      <w:pPr>
        <w:ind w:left="1440" w:hanging="360"/>
      </w:pPr>
    </w:lvl>
    <w:lvl w:ilvl="1" w:tplc="04DA6590" w:tentative="1">
      <w:start w:val="1"/>
      <w:numFmt w:val="lowerLetter"/>
      <w:lvlText w:val="%2."/>
      <w:lvlJc w:val="left"/>
      <w:pPr>
        <w:ind w:left="2160" w:hanging="360"/>
      </w:pPr>
    </w:lvl>
    <w:lvl w:ilvl="2" w:tplc="B328B558" w:tentative="1">
      <w:start w:val="1"/>
      <w:numFmt w:val="lowerRoman"/>
      <w:lvlText w:val="%3."/>
      <w:lvlJc w:val="right"/>
      <w:pPr>
        <w:ind w:left="2880" w:hanging="180"/>
      </w:pPr>
    </w:lvl>
    <w:lvl w:ilvl="3" w:tplc="8FA41168" w:tentative="1">
      <w:start w:val="1"/>
      <w:numFmt w:val="decimal"/>
      <w:lvlText w:val="%4."/>
      <w:lvlJc w:val="left"/>
      <w:pPr>
        <w:ind w:left="3600" w:hanging="360"/>
      </w:pPr>
    </w:lvl>
    <w:lvl w:ilvl="4" w:tplc="1FFAFE6E" w:tentative="1">
      <w:start w:val="1"/>
      <w:numFmt w:val="lowerLetter"/>
      <w:lvlText w:val="%5."/>
      <w:lvlJc w:val="left"/>
      <w:pPr>
        <w:ind w:left="4320" w:hanging="360"/>
      </w:pPr>
    </w:lvl>
    <w:lvl w:ilvl="5" w:tplc="63EA6F14" w:tentative="1">
      <w:start w:val="1"/>
      <w:numFmt w:val="lowerRoman"/>
      <w:lvlText w:val="%6."/>
      <w:lvlJc w:val="right"/>
      <w:pPr>
        <w:ind w:left="5040" w:hanging="180"/>
      </w:pPr>
    </w:lvl>
    <w:lvl w:ilvl="6" w:tplc="CD1C69A6" w:tentative="1">
      <w:start w:val="1"/>
      <w:numFmt w:val="decimal"/>
      <w:lvlText w:val="%7."/>
      <w:lvlJc w:val="left"/>
      <w:pPr>
        <w:ind w:left="5760" w:hanging="360"/>
      </w:pPr>
    </w:lvl>
    <w:lvl w:ilvl="7" w:tplc="A5D2FEE0" w:tentative="1">
      <w:start w:val="1"/>
      <w:numFmt w:val="lowerLetter"/>
      <w:lvlText w:val="%8."/>
      <w:lvlJc w:val="left"/>
      <w:pPr>
        <w:ind w:left="6480" w:hanging="360"/>
      </w:pPr>
    </w:lvl>
    <w:lvl w:ilvl="8" w:tplc="71CAD48A" w:tentative="1">
      <w:start w:val="1"/>
      <w:numFmt w:val="lowerRoman"/>
      <w:lvlText w:val="%9."/>
      <w:lvlJc w:val="right"/>
      <w:pPr>
        <w:ind w:left="7200" w:hanging="180"/>
      </w:pPr>
    </w:lvl>
  </w:abstractNum>
  <w:abstractNum w:abstractNumId="10" w15:restartNumberingAfterBreak="0">
    <w:nsid w:val="214D30AB"/>
    <w:multiLevelType w:val="hybridMultilevel"/>
    <w:tmpl w:val="4B1A8F6E"/>
    <w:lvl w:ilvl="0" w:tplc="10A8544E">
      <w:start w:val="1"/>
      <w:numFmt w:val="lowerLetter"/>
      <w:lvlText w:val="%1."/>
      <w:lvlJc w:val="left"/>
      <w:pPr>
        <w:ind w:left="785" w:hanging="360"/>
      </w:pPr>
    </w:lvl>
    <w:lvl w:ilvl="1" w:tplc="B09E4358" w:tentative="1">
      <w:start w:val="1"/>
      <w:numFmt w:val="lowerLetter"/>
      <w:lvlText w:val="%2."/>
      <w:lvlJc w:val="left"/>
      <w:pPr>
        <w:ind w:left="1505" w:hanging="360"/>
      </w:pPr>
    </w:lvl>
    <w:lvl w:ilvl="2" w:tplc="11EA7C30" w:tentative="1">
      <w:start w:val="1"/>
      <w:numFmt w:val="lowerRoman"/>
      <w:lvlText w:val="%3."/>
      <w:lvlJc w:val="right"/>
      <w:pPr>
        <w:ind w:left="2225" w:hanging="180"/>
      </w:pPr>
    </w:lvl>
    <w:lvl w:ilvl="3" w:tplc="99A8710C" w:tentative="1">
      <w:start w:val="1"/>
      <w:numFmt w:val="decimal"/>
      <w:lvlText w:val="%4."/>
      <w:lvlJc w:val="left"/>
      <w:pPr>
        <w:ind w:left="2945" w:hanging="360"/>
      </w:pPr>
    </w:lvl>
    <w:lvl w:ilvl="4" w:tplc="537AFA0E" w:tentative="1">
      <w:start w:val="1"/>
      <w:numFmt w:val="lowerLetter"/>
      <w:lvlText w:val="%5."/>
      <w:lvlJc w:val="left"/>
      <w:pPr>
        <w:ind w:left="3665" w:hanging="360"/>
      </w:pPr>
    </w:lvl>
    <w:lvl w:ilvl="5" w:tplc="732CE67E" w:tentative="1">
      <w:start w:val="1"/>
      <w:numFmt w:val="lowerRoman"/>
      <w:lvlText w:val="%6."/>
      <w:lvlJc w:val="right"/>
      <w:pPr>
        <w:ind w:left="4385" w:hanging="180"/>
      </w:pPr>
    </w:lvl>
    <w:lvl w:ilvl="6" w:tplc="30E67322" w:tentative="1">
      <w:start w:val="1"/>
      <w:numFmt w:val="decimal"/>
      <w:lvlText w:val="%7."/>
      <w:lvlJc w:val="left"/>
      <w:pPr>
        <w:ind w:left="5105" w:hanging="360"/>
      </w:pPr>
    </w:lvl>
    <w:lvl w:ilvl="7" w:tplc="4D5EA464" w:tentative="1">
      <w:start w:val="1"/>
      <w:numFmt w:val="lowerLetter"/>
      <w:lvlText w:val="%8."/>
      <w:lvlJc w:val="left"/>
      <w:pPr>
        <w:ind w:left="5825" w:hanging="360"/>
      </w:pPr>
    </w:lvl>
    <w:lvl w:ilvl="8" w:tplc="1E96A69A" w:tentative="1">
      <w:start w:val="1"/>
      <w:numFmt w:val="lowerRoman"/>
      <w:lvlText w:val="%9."/>
      <w:lvlJc w:val="right"/>
      <w:pPr>
        <w:ind w:left="6545" w:hanging="180"/>
      </w:pPr>
    </w:lvl>
  </w:abstractNum>
  <w:abstractNum w:abstractNumId="11" w15:restartNumberingAfterBreak="0">
    <w:nsid w:val="25962B55"/>
    <w:multiLevelType w:val="hybridMultilevel"/>
    <w:tmpl w:val="B47C985E"/>
    <w:lvl w:ilvl="0" w:tplc="D7242C50">
      <w:start w:val="1"/>
      <w:numFmt w:val="lowerLetter"/>
      <w:lvlText w:val="%1)"/>
      <w:lvlJc w:val="left"/>
      <w:pPr>
        <w:ind w:left="1440" w:hanging="360"/>
      </w:pPr>
    </w:lvl>
    <w:lvl w:ilvl="1" w:tplc="732CF96E" w:tentative="1">
      <w:start w:val="1"/>
      <w:numFmt w:val="lowerLetter"/>
      <w:lvlText w:val="%2."/>
      <w:lvlJc w:val="left"/>
      <w:pPr>
        <w:ind w:left="2160" w:hanging="360"/>
      </w:pPr>
    </w:lvl>
    <w:lvl w:ilvl="2" w:tplc="78DC2326" w:tentative="1">
      <w:start w:val="1"/>
      <w:numFmt w:val="lowerRoman"/>
      <w:lvlText w:val="%3."/>
      <w:lvlJc w:val="right"/>
      <w:pPr>
        <w:ind w:left="2880" w:hanging="180"/>
      </w:pPr>
    </w:lvl>
    <w:lvl w:ilvl="3" w:tplc="CCB85590" w:tentative="1">
      <w:start w:val="1"/>
      <w:numFmt w:val="decimal"/>
      <w:lvlText w:val="%4."/>
      <w:lvlJc w:val="left"/>
      <w:pPr>
        <w:ind w:left="3600" w:hanging="360"/>
      </w:pPr>
    </w:lvl>
    <w:lvl w:ilvl="4" w:tplc="08D8B910" w:tentative="1">
      <w:start w:val="1"/>
      <w:numFmt w:val="lowerLetter"/>
      <w:lvlText w:val="%5."/>
      <w:lvlJc w:val="left"/>
      <w:pPr>
        <w:ind w:left="4320" w:hanging="360"/>
      </w:pPr>
    </w:lvl>
    <w:lvl w:ilvl="5" w:tplc="2CE6C940" w:tentative="1">
      <w:start w:val="1"/>
      <w:numFmt w:val="lowerRoman"/>
      <w:lvlText w:val="%6."/>
      <w:lvlJc w:val="right"/>
      <w:pPr>
        <w:ind w:left="5040" w:hanging="180"/>
      </w:pPr>
    </w:lvl>
    <w:lvl w:ilvl="6" w:tplc="18082A3C" w:tentative="1">
      <w:start w:val="1"/>
      <w:numFmt w:val="decimal"/>
      <w:lvlText w:val="%7."/>
      <w:lvlJc w:val="left"/>
      <w:pPr>
        <w:ind w:left="5760" w:hanging="360"/>
      </w:pPr>
    </w:lvl>
    <w:lvl w:ilvl="7" w:tplc="B9407160" w:tentative="1">
      <w:start w:val="1"/>
      <w:numFmt w:val="lowerLetter"/>
      <w:lvlText w:val="%8."/>
      <w:lvlJc w:val="left"/>
      <w:pPr>
        <w:ind w:left="6480" w:hanging="360"/>
      </w:pPr>
    </w:lvl>
    <w:lvl w:ilvl="8" w:tplc="DA7ED4E0" w:tentative="1">
      <w:start w:val="1"/>
      <w:numFmt w:val="lowerRoman"/>
      <w:lvlText w:val="%9."/>
      <w:lvlJc w:val="right"/>
      <w:pPr>
        <w:ind w:left="7200" w:hanging="180"/>
      </w:pPr>
    </w:lvl>
  </w:abstractNum>
  <w:abstractNum w:abstractNumId="12" w15:restartNumberingAfterBreak="0">
    <w:nsid w:val="268338E7"/>
    <w:multiLevelType w:val="multilevel"/>
    <w:tmpl w:val="56B6F53A"/>
    <w:lvl w:ilvl="0">
      <w:start w:val="1"/>
      <w:numFmt w:val="decimal"/>
      <w:pStyle w:val="Heading1"/>
      <w:lvlText w:val="%1"/>
      <w:lvlJc w:val="left"/>
      <w:pPr>
        <w:ind w:left="432" w:hanging="432"/>
      </w:pPr>
      <w:rPr>
        <w:b/>
        <w:sz w:val="28"/>
      </w:rPr>
    </w:lvl>
    <w:lvl w:ilvl="1">
      <w:start w:val="1"/>
      <w:numFmt w:val="decimal"/>
      <w:pStyle w:val="Heading2"/>
      <w:lvlText w:val="%1.%2"/>
      <w:lvlJc w:val="left"/>
      <w:pPr>
        <w:ind w:left="860" w:hanging="576"/>
      </w:pPr>
      <w:rPr>
        <w:b w:val="0"/>
        <w:sz w:val="22"/>
        <w:szCs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32D1335E"/>
    <w:multiLevelType w:val="hybridMultilevel"/>
    <w:tmpl w:val="1130E46E"/>
    <w:lvl w:ilvl="0" w:tplc="2CC27C3A">
      <w:start w:val="1"/>
      <w:numFmt w:val="lowerLetter"/>
      <w:lvlText w:val="%1)"/>
      <w:lvlJc w:val="left"/>
      <w:pPr>
        <w:ind w:left="720" w:hanging="360"/>
      </w:pPr>
    </w:lvl>
    <w:lvl w:ilvl="1" w:tplc="399A2678" w:tentative="1">
      <w:start w:val="1"/>
      <w:numFmt w:val="lowerLetter"/>
      <w:lvlText w:val="%2."/>
      <w:lvlJc w:val="left"/>
      <w:pPr>
        <w:ind w:left="1440" w:hanging="360"/>
      </w:pPr>
    </w:lvl>
    <w:lvl w:ilvl="2" w:tplc="13200000" w:tentative="1">
      <w:start w:val="1"/>
      <w:numFmt w:val="lowerRoman"/>
      <w:lvlText w:val="%3."/>
      <w:lvlJc w:val="right"/>
      <w:pPr>
        <w:ind w:left="2160" w:hanging="180"/>
      </w:pPr>
    </w:lvl>
    <w:lvl w:ilvl="3" w:tplc="6908D8F6" w:tentative="1">
      <w:start w:val="1"/>
      <w:numFmt w:val="decimal"/>
      <w:lvlText w:val="%4."/>
      <w:lvlJc w:val="left"/>
      <w:pPr>
        <w:ind w:left="2880" w:hanging="360"/>
      </w:pPr>
    </w:lvl>
    <w:lvl w:ilvl="4" w:tplc="DB1C77DA" w:tentative="1">
      <w:start w:val="1"/>
      <w:numFmt w:val="lowerLetter"/>
      <w:lvlText w:val="%5."/>
      <w:lvlJc w:val="left"/>
      <w:pPr>
        <w:ind w:left="3600" w:hanging="360"/>
      </w:pPr>
    </w:lvl>
    <w:lvl w:ilvl="5" w:tplc="4678D7F6" w:tentative="1">
      <w:start w:val="1"/>
      <w:numFmt w:val="lowerRoman"/>
      <w:lvlText w:val="%6."/>
      <w:lvlJc w:val="right"/>
      <w:pPr>
        <w:ind w:left="4320" w:hanging="180"/>
      </w:pPr>
    </w:lvl>
    <w:lvl w:ilvl="6" w:tplc="9BBC0A82" w:tentative="1">
      <w:start w:val="1"/>
      <w:numFmt w:val="decimal"/>
      <w:lvlText w:val="%7."/>
      <w:lvlJc w:val="left"/>
      <w:pPr>
        <w:ind w:left="5040" w:hanging="360"/>
      </w:pPr>
    </w:lvl>
    <w:lvl w:ilvl="7" w:tplc="8070D6A8" w:tentative="1">
      <w:start w:val="1"/>
      <w:numFmt w:val="lowerLetter"/>
      <w:lvlText w:val="%8."/>
      <w:lvlJc w:val="left"/>
      <w:pPr>
        <w:ind w:left="5760" w:hanging="360"/>
      </w:pPr>
    </w:lvl>
    <w:lvl w:ilvl="8" w:tplc="9CF636FC" w:tentative="1">
      <w:start w:val="1"/>
      <w:numFmt w:val="lowerRoman"/>
      <w:lvlText w:val="%9."/>
      <w:lvlJc w:val="right"/>
      <w:pPr>
        <w:ind w:left="6480" w:hanging="180"/>
      </w:pPr>
    </w:lvl>
  </w:abstractNum>
  <w:abstractNum w:abstractNumId="14" w15:restartNumberingAfterBreak="0">
    <w:nsid w:val="342959C7"/>
    <w:multiLevelType w:val="hybridMultilevel"/>
    <w:tmpl w:val="E39693E0"/>
    <w:lvl w:ilvl="0" w:tplc="A000CD7E">
      <w:start w:val="1"/>
      <w:numFmt w:val="bullet"/>
      <w:lvlText w:val=""/>
      <w:lvlJc w:val="left"/>
      <w:pPr>
        <w:ind w:left="1146" w:hanging="360"/>
      </w:pPr>
      <w:rPr>
        <w:rFonts w:ascii="Symbol" w:hAnsi="Symbol" w:hint="default"/>
      </w:rPr>
    </w:lvl>
    <w:lvl w:ilvl="1" w:tplc="D340E44A" w:tentative="1">
      <w:start w:val="1"/>
      <w:numFmt w:val="bullet"/>
      <w:lvlText w:val="o"/>
      <w:lvlJc w:val="left"/>
      <w:pPr>
        <w:ind w:left="1866" w:hanging="360"/>
      </w:pPr>
      <w:rPr>
        <w:rFonts w:ascii="Courier New" w:hAnsi="Courier New" w:hint="default"/>
      </w:rPr>
    </w:lvl>
    <w:lvl w:ilvl="2" w:tplc="A0988B1E" w:tentative="1">
      <w:start w:val="1"/>
      <w:numFmt w:val="bullet"/>
      <w:lvlText w:val=""/>
      <w:lvlJc w:val="left"/>
      <w:pPr>
        <w:ind w:left="2586" w:hanging="360"/>
      </w:pPr>
      <w:rPr>
        <w:rFonts w:ascii="Wingdings" w:hAnsi="Wingdings" w:hint="default"/>
      </w:rPr>
    </w:lvl>
    <w:lvl w:ilvl="3" w:tplc="892E3104" w:tentative="1">
      <w:start w:val="1"/>
      <w:numFmt w:val="bullet"/>
      <w:lvlText w:val=""/>
      <w:lvlJc w:val="left"/>
      <w:pPr>
        <w:ind w:left="3306" w:hanging="360"/>
      </w:pPr>
      <w:rPr>
        <w:rFonts w:ascii="Symbol" w:hAnsi="Symbol" w:hint="default"/>
      </w:rPr>
    </w:lvl>
    <w:lvl w:ilvl="4" w:tplc="BA060AB0" w:tentative="1">
      <w:start w:val="1"/>
      <w:numFmt w:val="bullet"/>
      <w:lvlText w:val="o"/>
      <w:lvlJc w:val="left"/>
      <w:pPr>
        <w:ind w:left="4026" w:hanging="360"/>
      </w:pPr>
      <w:rPr>
        <w:rFonts w:ascii="Courier New" w:hAnsi="Courier New" w:hint="default"/>
      </w:rPr>
    </w:lvl>
    <w:lvl w:ilvl="5" w:tplc="814821BC" w:tentative="1">
      <w:start w:val="1"/>
      <w:numFmt w:val="bullet"/>
      <w:lvlText w:val=""/>
      <w:lvlJc w:val="left"/>
      <w:pPr>
        <w:ind w:left="4746" w:hanging="360"/>
      </w:pPr>
      <w:rPr>
        <w:rFonts w:ascii="Wingdings" w:hAnsi="Wingdings" w:hint="default"/>
      </w:rPr>
    </w:lvl>
    <w:lvl w:ilvl="6" w:tplc="85162C8C" w:tentative="1">
      <w:start w:val="1"/>
      <w:numFmt w:val="bullet"/>
      <w:lvlText w:val=""/>
      <w:lvlJc w:val="left"/>
      <w:pPr>
        <w:ind w:left="5466" w:hanging="360"/>
      </w:pPr>
      <w:rPr>
        <w:rFonts w:ascii="Symbol" w:hAnsi="Symbol" w:hint="default"/>
      </w:rPr>
    </w:lvl>
    <w:lvl w:ilvl="7" w:tplc="685884CC" w:tentative="1">
      <w:start w:val="1"/>
      <w:numFmt w:val="bullet"/>
      <w:lvlText w:val="o"/>
      <w:lvlJc w:val="left"/>
      <w:pPr>
        <w:ind w:left="6186" w:hanging="360"/>
      </w:pPr>
      <w:rPr>
        <w:rFonts w:ascii="Courier New" w:hAnsi="Courier New" w:hint="default"/>
      </w:rPr>
    </w:lvl>
    <w:lvl w:ilvl="8" w:tplc="2F02E308" w:tentative="1">
      <w:start w:val="1"/>
      <w:numFmt w:val="bullet"/>
      <w:lvlText w:val=""/>
      <w:lvlJc w:val="left"/>
      <w:pPr>
        <w:ind w:left="6906" w:hanging="360"/>
      </w:pPr>
      <w:rPr>
        <w:rFonts w:ascii="Wingdings" w:hAnsi="Wingdings" w:hint="default"/>
      </w:rPr>
    </w:lvl>
  </w:abstractNum>
  <w:abstractNum w:abstractNumId="15" w15:restartNumberingAfterBreak="0">
    <w:nsid w:val="3C5702BF"/>
    <w:multiLevelType w:val="hybridMultilevel"/>
    <w:tmpl w:val="B8066002"/>
    <w:lvl w:ilvl="0" w:tplc="FFFFFFFF">
      <w:start w:val="1"/>
      <w:numFmt w:val="lowerLetter"/>
      <w:pStyle w:val="LFRBulletPoints"/>
      <w:lvlText w:val="%1)"/>
      <w:lvlJc w:val="left"/>
      <w:pPr>
        <w:ind w:left="108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4A32DF10">
      <w:start w:val="1"/>
      <w:numFmt w:val="lowerRoman"/>
      <w:lvlText w:val="%2."/>
      <w:lvlJc w:val="right"/>
      <w:pPr>
        <w:ind w:left="1800" w:hanging="360"/>
      </w:pPr>
    </w:lvl>
    <w:lvl w:ilvl="2" w:tplc="24681C24">
      <w:start w:val="1"/>
      <w:numFmt w:val="lowerRoman"/>
      <w:lvlText w:val="%3."/>
      <w:lvlJc w:val="right"/>
      <w:pPr>
        <w:ind w:left="2520" w:hanging="180"/>
      </w:pPr>
    </w:lvl>
    <w:lvl w:ilvl="3" w:tplc="04A0AE18">
      <w:start w:val="1"/>
      <w:numFmt w:val="decimal"/>
      <w:lvlText w:val="%4."/>
      <w:lvlJc w:val="left"/>
      <w:pPr>
        <w:ind w:left="3240" w:hanging="360"/>
      </w:pPr>
    </w:lvl>
    <w:lvl w:ilvl="4" w:tplc="7CB24D70" w:tentative="1">
      <w:start w:val="1"/>
      <w:numFmt w:val="lowerLetter"/>
      <w:lvlText w:val="%5."/>
      <w:lvlJc w:val="left"/>
      <w:pPr>
        <w:ind w:left="3960" w:hanging="360"/>
      </w:pPr>
    </w:lvl>
    <w:lvl w:ilvl="5" w:tplc="3350D038" w:tentative="1">
      <w:start w:val="1"/>
      <w:numFmt w:val="lowerRoman"/>
      <w:lvlText w:val="%6."/>
      <w:lvlJc w:val="right"/>
      <w:pPr>
        <w:ind w:left="4680" w:hanging="180"/>
      </w:pPr>
    </w:lvl>
    <w:lvl w:ilvl="6" w:tplc="9E28DFAC" w:tentative="1">
      <w:start w:val="1"/>
      <w:numFmt w:val="decimal"/>
      <w:lvlText w:val="%7."/>
      <w:lvlJc w:val="left"/>
      <w:pPr>
        <w:ind w:left="5400" w:hanging="360"/>
      </w:pPr>
    </w:lvl>
    <w:lvl w:ilvl="7" w:tplc="8CFAD0C4" w:tentative="1">
      <w:start w:val="1"/>
      <w:numFmt w:val="lowerLetter"/>
      <w:lvlText w:val="%8."/>
      <w:lvlJc w:val="left"/>
      <w:pPr>
        <w:ind w:left="6120" w:hanging="360"/>
      </w:pPr>
    </w:lvl>
    <w:lvl w:ilvl="8" w:tplc="801C3A24" w:tentative="1">
      <w:start w:val="1"/>
      <w:numFmt w:val="lowerRoman"/>
      <w:lvlText w:val="%9."/>
      <w:lvlJc w:val="right"/>
      <w:pPr>
        <w:ind w:left="6840" w:hanging="180"/>
      </w:pPr>
    </w:lvl>
  </w:abstractNum>
  <w:abstractNum w:abstractNumId="16" w15:restartNumberingAfterBreak="0">
    <w:nsid w:val="3CEE4580"/>
    <w:multiLevelType w:val="multilevel"/>
    <w:tmpl w:val="4956CB58"/>
    <w:lvl w:ilvl="0">
      <w:start w:val="1"/>
      <w:numFmt w:val="decimal"/>
      <w:lvlText w:val="%1"/>
      <w:lvlJc w:val="left"/>
      <w:pPr>
        <w:tabs>
          <w:tab w:val="num" w:pos="709"/>
        </w:tabs>
        <w:ind w:left="709" w:hanging="709"/>
      </w:pPr>
      <w:rPr>
        <w:b/>
      </w:rPr>
    </w:lvl>
    <w:lvl w:ilvl="1">
      <w:start w:val="1"/>
      <w:numFmt w:val="decimal"/>
      <w:lvlText w:val="%1.%2"/>
      <w:lvlJc w:val="left"/>
      <w:pPr>
        <w:tabs>
          <w:tab w:val="num" w:pos="993"/>
        </w:tabs>
        <w:ind w:left="993" w:hanging="709"/>
      </w:pPr>
      <w:rPr>
        <w:b w:val="0"/>
        <w:i w:val="0"/>
        <w:color w:val="000000"/>
        <w:sz w:val="22"/>
        <w:szCs w:val="22"/>
      </w:rPr>
    </w:lvl>
    <w:lvl w:ilvl="2">
      <w:start w:val="3"/>
      <w:numFmt w:val="lowerLetter"/>
      <w:lvlText w:val="(%3)"/>
      <w:lvlJc w:val="left"/>
      <w:pPr>
        <w:tabs>
          <w:tab w:val="num" w:pos="809"/>
        </w:tabs>
        <w:ind w:left="809" w:hanging="709"/>
      </w:pPr>
      <w:rPr>
        <w:b w:val="0"/>
        <w:i w:val="0"/>
        <w:sz w:val="22"/>
        <w:szCs w:val="22"/>
      </w:rPr>
    </w:lvl>
    <w:lvl w:ilvl="3">
      <w:start w:val="1"/>
      <w:numFmt w:val="lowerRoman"/>
      <w:lvlText w:val="(%4)"/>
      <w:lvlJc w:val="left"/>
      <w:pPr>
        <w:tabs>
          <w:tab w:val="num" w:pos="2126"/>
        </w:tabs>
        <w:ind w:left="2126" w:hanging="708"/>
      </w:pPr>
      <w:rPr>
        <w:b w:val="0"/>
        <w:i w:val="0"/>
        <w:sz w:val="22"/>
        <w:szCs w:val="22"/>
      </w:rPr>
    </w:lvl>
    <w:lvl w:ilvl="4">
      <w:start w:val="1"/>
      <w:numFmt w:val="upperLetter"/>
      <w:lvlText w:val="(%5)"/>
      <w:lvlJc w:val="left"/>
      <w:pPr>
        <w:tabs>
          <w:tab w:val="num" w:pos="2836"/>
        </w:tabs>
        <w:ind w:left="2836" w:hanging="709"/>
      </w:pPr>
      <w:rPr>
        <w:b w:val="0"/>
        <w:i w:val="0"/>
      </w:rPr>
    </w:lvl>
    <w:lvl w:ilvl="5">
      <w:start w:val="1"/>
      <w:numFmt w:val="decimal"/>
      <w:lvlText w:val="%6)"/>
      <w:lvlJc w:val="left"/>
      <w:pPr>
        <w:tabs>
          <w:tab w:val="num" w:pos="3544"/>
        </w:tabs>
        <w:ind w:left="3544" w:hanging="708"/>
      </w:pPr>
    </w:lvl>
    <w:lvl w:ilvl="6">
      <w:start w:val="1"/>
      <w:numFmt w:val="decimal"/>
      <w:lvlText w:val="%7%3)"/>
      <w:lvlJc w:val="left"/>
      <w:pPr>
        <w:tabs>
          <w:tab w:val="num" w:pos="2714"/>
        </w:tabs>
        <w:ind w:left="2714" w:hanging="1296"/>
      </w:pPr>
    </w:lvl>
    <w:lvl w:ilvl="7">
      <w:start w:val="1"/>
      <w:numFmt w:val="lowerRoman"/>
      <w:lvlText w:val="%8)"/>
      <w:lvlJc w:val="left"/>
      <w:pPr>
        <w:tabs>
          <w:tab w:val="num" w:pos="2858"/>
        </w:tabs>
        <w:ind w:left="2858" w:hanging="1440"/>
      </w:pPr>
    </w:lvl>
    <w:lvl w:ilvl="8">
      <w:start w:val="1"/>
      <w:numFmt w:val="upperLetter"/>
      <w:lvlText w:val="%9)"/>
      <w:lvlJc w:val="left"/>
      <w:pPr>
        <w:tabs>
          <w:tab w:val="num" w:pos="3002"/>
        </w:tabs>
        <w:ind w:left="3002" w:hanging="1584"/>
      </w:pPr>
    </w:lvl>
  </w:abstractNum>
  <w:abstractNum w:abstractNumId="17" w15:restartNumberingAfterBreak="0">
    <w:nsid w:val="3FEB69EA"/>
    <w:multiLevelType w:val="hybridMultilevel"/>
    <w:tmpl w:val="AAF88636"/>
    <w:lvl w:ilvl="0" w:tplc="1400917C">
      <w:start w:val="1"/>
      <w:numFmt w:val="upperRoman"/>
      <w:lvlText w:val="%1."/>
      <w:lvlJc w:val="right"/>
      <w:pPr>
        <w:ind w:left="1529" w:hanging="360"/>
      </w:pPr>
    </w:lvl>
    <w:lvl w:ilvl="1" w:tplc="BB426EA8">
      <w:start w:val="1"/>
      <w:numFmt w:val="lowerLetter"/>
      <w:lvlText w:val="%2."/>
      <w:lvlJc w:val="left"/>
      <w:pPr>
        <w:ind w:left="2249" w:hanging="360"/>
      </w:pPr>
    </w:lvl>
    <w:lvl w:ilvl="2" w:tplc="BB2C0176">
      <w:start w:val="1"/>
      <w:numFmt w:val="lowerRoman"/>
      <w:lvlText w:val="%3."/>
      <w:lvlJc w:val="right"/>
      <w:pPr>
        <w:ind w:left="2969" w:hanging="180"/>
      </w:pPr>
    </w:lvl>
    <w:lvl w:ilvl="3" w:tplc="6CE2B8A4">
      <w:start w:val="1"/>
      <w:numFmt w:val="decimal"/>
      <w:lvlText w:val="%4."/>
      <w:lvlJc w:val="left"/>
      <w:pPr>
        <w:ind w:left="3689" w:hanging="360"/>
      </w:pPr>
    </w:lvl>
    <w:lvl w:ilvl="4" w:tplc="F7B09D2C">
      <w:start w:val="1"/>
      <w:numFmt w:val="lowerLetter"/>
      <w:lvlText w:val="%5."/>
      <w:lvlJc w:val="left"/>
      <w:pPr>
        <w:ind w:left="4409" w:hanging="360"/>
      </w:pPr>
    </w:lvl>
    <w:lvl w:ilvl="5" w:tplc="13E6DB4A">
      <w:start w:val="1"/>
      <w:numFmt w:val="lowerRoman"/>
      <w:lvlText w:val="%6."/>
      <w:lvlJc w:val="right"/>
      <w:pPr>
        <w:ind w:left="5129" w:hanging="180"/>
      </w:pPr>
    </w:lvl>
    <w:lvl w:ilvl="6" w:tplc="1F36DD92">
      <w:start w:val="1"/>
      <w:numFmt w:val="decimal"/>
      <w:lvlText w:val="%7."/>
      <w:lvlJc w:val="left"/>
      <w:pPr>
        <w:ind w:left="5849" w:hanging="360"/>
      </w:pPr>
    </w:lvl>
    <w:lvl w:ilvl="7" w:tplc="CEF4234E">
      <w:start w:val="1"/>
      <w:numFmt w:val="lowerLetter"/>
      <w:lvlText w:val="%8."/>
      <w:lvlJc w:val="left"/>
      <w:pPr>
        <w:ind w:left="6569" w:hanging="360"/>
      </w:pPr>
    </w:lvl>
    <w:lvl w:ilvl="8" w:tplc="E5CA1B1A">
      <w:start w:val="1"/>
      <w:numFmt w:val="lowerRoman"/>
      <w:lvlText w:val="%9."/>
      <w:lvlJc w:val="right"/>
      <w:pPr>
        <w:ind w:left="7289" w:hanging="180"/>
      </w:pPr>
    </w:lvl>
  </w:abstractNum>
  <w:abstractNum w:abstractNumId="18" w15:restartNumberingAfterBreak="0">
    <w:nsid w:val="40617A2B"/>
    <w:multiLevelType w:val="hybridMultilevel"/>
    <w:tmpl w:val="2FC4FDB6"/>
    <w:lvl w:ilvl="0" w:tplc="FB8AA9E2">
      <w:start w:val="1"/>
      <w:numFmt w:val="decimal"/>
      <w:lvlText w:val="%1."/>
      <w:lvlJc w:val="left"/>
      <w:pPr>
        <w:ind w:left="1529" w:hanging="360"/>
      </w:pPr>
    </w:lvl>
    <w:lvl w:ilvl="1" w:tplc="D0A85060">
      <w:start w:val="1"/>
      <w:numFmt w:val="lowerLetter"/>
      <w:lvlText w:val="%2."/>
      <w:lvlJc w:val="left"/>
      <w:pPr>
        <w:ind w:left="2249" w:hanging="360"/>
      </w:pPr>
    </w:lvl>
    <w:lvl w:ilvl="2" w:tplc="F3AC9464">
      <w:start w:val="1"/>
      <w:numFmt w:val="lowerRoman"/>
      <w:lvlText w:val="%3."/>
      <w:lvlJc w:val="right"/>
      <w:pPr>
        <w:ind w:left="2969" w:hanging="180"/>
      </w:pPr>
    </w:lvl>
    <w:lvl w:ilvl="3" w:tplc="6DA24302">
      <w:start w:val="1"/>
      <w:numFmt w:val="decimal"/>
      <w:lvlText w:val="%4."/>
      <w:lvlJc w:val="left"/>
      <w:pPr>
        <w:ind w:left="3689" w:hanging="360"/>
      </w:pPr>
    </w:lvl>
    <w:lvl w:ilvl="4" w:tplc="1C041CD8">
      <w:start w:val="1"/>
      <w:numFmt w:val="lowerLetter"/>
      <w:lvlText w:val="%5."/>
      <w:lvlJc w:val="left"/>
      <w:pPr>
        <w:ind w:left="4409" w:hanging="360"/>
      </w:pPr>
    </w:lvl>
    <w:lvl w:ilvl="5" w:tplc="E5848A64">
      <w:start w:val="1"/>
      <w:numFmt w:val="lowerRoman"/>
      <w:lvlText w:val="%6."/>
      <w:lvlJc w:val="right"/>
      <w:pPr>
        <w:ind w:left="5129" w:hanging="180"/>
      </w:pPr>
    </w:lvl>
    <w:lvl w:ilvl="6" w:tplc="BA2CC6C2">
      <w:start w:val="1"/>
      <w:numFmt w:val="decimal"/>
      <w:lvlText w:val="%7."/>
      <w:lvlJc w:val="left"/>
      <w:pPr>
        <w:ind w:left="5849" w:hanging="360"/>
      </w:pPr>
    </w:lvl>
    <w:lvl w:ilvl="7" w:tplc="900A3B0C">
      <w:start w:val="1"/>
      <w:numFmt w:val="lowerLetter"/>
      <w:lvlText w:val="%8."/>
      <w:lvlJc w:val="left"/>
      <w:pPr>
        <w:ind w:left="6569" w:hanging="360"/>
      </w:pPr>
    </w:lvl>
    <w:lvl w:ilvl="8" w:tplc="87CC1012">
      <w:start w:val="1"/>
      <w:numFmt w:val="lowerRoman"/>
      <w:lvlText w:val="%9."/>
      <w:lvlJc w:val="right"/>
      <w:pPr>
        <w:ind w:left="7289" w:hanging="180"/>
      </w:pPr>
    </w:lvl>
  </w:abstractNum>
  <w:abstractNum w:abstractNumId="19" w15:restartNumberingAfterBreak="0">
    <w:nsid w:val="44CF0D82"/>
    <w:multiLevelType w:val="hybridMultilevel"/>
    <w:tmpl w:val="64FA59EE"/>
    <w:lvl w:ilvl="0" w:tplc="FFFFFFFF">
      <w:start w:val="1"/>
      <w:numFmt w:val="lowerLetter"/>
      <w:pStyle w:val="NoSpacing"/>
      <w:lvlText w:val="%1)"/>
      <w:lvlJc w:val="left"/>
      <w:pPr>
        <w:ind w:left="360" w:hanging="360"/>
      </w:pPr>
    </w:lvl>
    <w:lvl w:ilvl="1" w:tplc="2DAEC6CA" w:tentative="1">
      <w:start w:val="1"/>
      <w:numFmt w:val="lowerLetter"/>
      <w:lvlText w:val="%2."/>
      <w:lvlJc w:val="left"/>
      <w:pPr>
        <w:ind w:left="1080" w:hanging="360"/>
      </w:pPr>
    </w:lvl>
    <w:lvl w:ilvl="2" w:tplc="C0724D72" w:tentative="1">
      <w:start w:val="1"/>
      <w:numFmt w:val="lowerRoman"/>
      <w:lvlText w:val="%3."/>
      <w:lvlJc w:val="right"/>
      <w:pPr>
        <w:ind w:left="1800" w:hanging="180"/>
      </w:pPr>
    </w:lvl>
    <w:lvl w:ilvl="3" w:tplc="970C13AE" w:tentative="1">
      <w:start w:val="1"/>
      <w:numFmt w:val="decimal"/>
      <w:lvlText w:val="%4."/>
      <w:lvlJc w:val="left"/>
      <w:pPr>
        <w:ind w:left="2520" w:hanging="360"/>
      </w:pPr>
    </w:lvl>
    <w:lvl w:ilvl="4" w:tplc="68342E7C" w:tentative="1">
      <w:start w:val="1"/>
      <w:numFmt w:val="lowerLetter"/>
      <w:lvlText w:val="%5."/>
      <w:lvlJc w:val="left"/>
      <w:pPr>
        <w:ind w:left="3240" w:hanging="360"/>
      </w:pPr>
    </w:lvl>
    <w:lvl w:ilvl="5" w:tplc="D2663C9A" w:tentative="1">
      <w:start w:val="1"/>
      <w:numFmt w:val="lowerRoman"/>
      <w:lvlText w:val="%6."/>
      <w:lvlJc w:val="right"/>
      <w:pPr>
        <w:ind w:left="3960" w:hanging="180"/>
      </w:pPr>
    </w:lvl>
    <w:lvl w:ilvl="6" w:tplc="5C34B040" w:tentative="1">
      <w:start w:val="1"/>
      <w:numFmt w:val="decimal"/>
      <w:lvlText w:val="%7."/>
      <w:lvlJc w:val="left"/>
      <w:pPr>
        <w:ind w:left="4680" w:hanging="360"/>
      </w:pPr>
    </w:lvl>
    <w:lvl w:ilvl="7" w:tplc="3CD875C0" w:tentative="1">
      <w:start w:val="1"/>
      <w:numFmt w:val="lowerLetter"/>
      <w:lvlText w:val="%8."/>
      <w:lvlJc w:val="left"/>
      <w:pPr>
        <w:ind w:left="5400" w:hanging="360"/>
      </w:pPr>
    </w:lvl>
    <w:lvl w:ilvl="8" w:tplc="E5DA81B8" w:tentative="1">
      <w:start w:val="1"/>
      <w:numFmt w:val="lowerRoman"/>
      <w:lvlText w:val="%9."/>
      <w:lvlJc w:val="right"/>
      <w:pPr>
        <w:ind w:left="6120" w:hanging="180"/>
      </w:pPr>
    </w:lvl>
  </w:abstractNum>
  <w:abstractNum w:abstractNumId="20" w15:restartNumberingAfterBreak="0">
    <w:nsid w:val="46A729B2"/>
    <w:multiLevelType w:val="hybridMultilevel"/>
    <w:tmpl w:val="FD683AB2"/>
    <w:lvl w:ilvl="0" w:tplc="F9ACCB32">
      <w:start w:val="1"/>
      <w:numFmt w:val="bullet"/>
      <w:lvlText w:val=""/>
      <w:lvlJc w:val="left"/>
      <w:pPr>
        <w:ind w:left="786" w:hanging="360"/>
      </w:pPr>
      <w:rPr>
        <w:rFonts w:ascii="Symbol" w:hAnsi="Symbol" w:hint="default"/>
      </w:rPr>
    </w:lvl>
    <w:lvl w:ilvl="1" w:tplc="C3205754" w:tentative="1">
      <w:start w:val="1"/>
      <w:numFmt w:val="bullet"/>
      <w:lvlText w:val="o"/>
      <w:lvlJc w:val="left"/>
      <w:pPr>
        <w:ind w:left="1506" w:hanging="360"/>
      </w:pPr>
      <w:rPr>
        <w:rFonts w:ascii="Courier New" w:hAnsi="Courier New" w:hint="default"/>
      </w:rPr>
    </w:lvl>
    <w:lvl w:ilvl="2" w:tplc="BF20B29A" w:tentative="1">
      <w:start w:val="1"/>
      <w:numFmt w:val="bullet"/>
      <w:lvlText w:val=""/>
      <w:lvlJc w:val="left"/>
      <w:pPr>
        <w:ind w:left="2226" w:hanging="360"/>
      </w:pPr>
      <w:rPr>
        <w:rFonts w:ascii="Wingdings" w:hAnsi="Wingdings" w:hint="default"/>
      </w:rPr>
    </w:lvl>
    <w:lvl w:ilvl="3" w:tplc="52FAA754" w:tentative="1">
      <w:start w:val="1"/>
      <w:numFmt w:val="bullet"/>
      <w:lvlText w:val=""/>
      <w:lvlJc w:val="left"/>
      <w:pPr>
        <w:ind w:left="2946" w:hanging="360"/>
      </w:pPr>
      <w:rPr>
        <w:rFonts w:ascii="Symbol" w:hAnsi="Symbol" w:hint="default"/>
      </w:rPr>
    </w:lvl>
    <w:lvl w:ilvl="4" w:tplc="C0DC5388" w:tentative="1">
      <w:start w:val="1"/>
      <w:numFmt w:val="bullet"/>
      <w:lvlText w:val="o"/>
      <w:lvlJc w:val="left"/>
      <w:pPr>
        <w:ind w:left="3666" w:hanging="360"/>
      </w:pPr>
      <w:rPr>
        <w:rFonts w:ascii="Courier New" w:hAnsi="Courier New" w:hint="default"/>
      </w:rPr>
    </w:lvl>
    <w:lvl w:ilvl="5" w:tplc="0180F170" w:tentative="1">
      <w:start w:val="1"/>
      <w:numFmt w:val="bullet"/>
      <w:lvlText w:val=""/>
      <w:lvlJc w:val="left"/>
      <w:pPr>
        <w:ind w:left="4386" w:hanging="360"/>
      </w:pPr>
      <w:rPr>
        <w:rFonts w:ascii="Wingdings" w:hAnsi="Wingdings" w:hint="default"/>
      </w:rPr>
    </w:lvl>
    <w:lvl w:ilvl="6" w:tplc="08981806" w:tentative="1">
      <w:start w:val="1"/>
      <w:numFmt w:val="bullet"/>
      <w:lvlText w:val=""/>
      <w:lvlJc w:val="left"/>
      <w:pPr>
        <w:ind w:left="5106" w:hanging="360"/>
      </w:pPr>
      <w:rPr>
        <w:rFonts w:ascii="Symbol" w:hAnsi="Symbol" w:hint="default"/>
      </w:rPr>
    </w:lvl>
    <w:lvl w:ilvl="7" w:tplc="206AED94" w:tentative="1">
      <w:start w:val="1"/>
      <w:numFmt w:val="bullet"/>
      <w:lvlText w:val="o"/>
      <w:lvlJc w:val="left"/>
      <w:pPr>
        <w:ind w:left="5826" w:hanging="360"/>
      </w:pPr>
      <w:rPr>
        <w:rFonts w:ascii="Courier New" w:hAnsi="Courier New" w:hint="default"/>
      </w:rPr>
    </w:lvl>
    <w:lvl w:ilvl="8" w:tplc="00F644CC" w:tentative="1">
      <w:start w:val="1"/>
      <w:numFmt w:val="bullet"/>
      <w:lvlText w:val=""/>
      <w:lvlJc w:val="left"/>
      <w:pPr>
        <w:ind w:left="6546" w:hanging="360"/>
      </w:pPr>
      <w:rPr>
        <w:rFonts w:ascii="Wingdings" w:hAnsi="Wingdings" w:hint="default"/>
      </w:rPr>
    </w:lvl>
  </w:abstractNum>
  <w:abstractNum w:abstractNumId="21" w15:restartNumberingAfterBreak="0">
    <w:nsid w:val="4EC5A977"/>
    <w:multiLevelType w:val="multilevel"/>
    <w:tmpl w:val="0554E58E"/>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F4557CF"/>
    <w:multiLevelType w:val="hybridMultilevel"/>
    <w:tmpl w:val="2FC4FDB6"/>
    <w:lvl w:ilvl="0" w:tplc="53E264DC">
      <w:start w:val="1"/>
      <w:numFmt w:val="decimal"/>
      <w:lvlText w:val="%1."/>
      <w:lvlJc w:val="left"/>
      <w:pPr>
        <w:ind w:left="1529" w:hanging="360"/>
      </w:pPr>
    </w:lvl>
    <w:lvl w:ilvl="1" w:tplc="A3C2DD50">
      <w:start w:val="1"/>
      <w:numFmt w:val="lowerLetter"/>
      <w:lvlText w:val="%2."/>
      <w:lvlJc w:val="left"/>
      <w:pPr>
        <w:ind w:left="2249" w:hanging="360"/>
      </w:pPr>
    </w:lvl>
    <w:lvl w:ilvl="2" w:tplc="D4E02B66">
      <w:start w:val="1"/>
      <w:numFmt w:val="lowerRoman"/>
      <w:lvlText w:val="%3."/>
      <w:lvlJc w:val="right"/>
      <w:pPr>
        <w:ind w:left="2969" w:hanging="180"/>
      </w:pPr>
    </w:lvl>
    <w:lvl w:ilvl="3" w:tplc="6D0E26E6">
      <w:start w:val="1"/>
      <w:numFmt w:val="decimal"/>
      <w:lvlText w:val="%4."/>
      <w:lvlJc w:val="left"/>
      <w:pPr>
        <w:ind w:left="3689" w:hanging="360"/>
      </w:pPr>
    </w:lvl>
    <w:lvl w:ilvl="4" w:tplc="B538BB9A">
      <w:start w:val="1"/>
      <w:numFmt w:val="lowerLetter"/>
      <w:lvlText w:val="%5."/>
      <w:lvlJc w:val="left"/>
      <w:pPr>
        <w:ind w:left="4409" w:hanging="360"/>
      </w:pPr>
    </w:lvl>
    <w:lvl w:ilvl="5" w:tplc="A79C8116">
      <w:start w:val="1"/>
      <w:numFmt w:val="lowerRoman"/>
      <w:lvlText w:val="%6."/>
      <w:lvlJc w:val="right"/>
      <w:pPr>
        <w:ind w:left="5129" w:hanging="180"/>
      </w:pPr>
    </w:lvl>
    <w:lvl w:ilvl="6" w:tplc="9AC4C502">
      <w:start w:val="1"/>
      <w:numFmt w:val="decimal"/>
      <w:lvlText w:val="%7."/>
      <w:lvlJc w:val="left"/>
      <w:pPr>
        <w:ind w:left="5849" w:hanging="360"/>
      </w:pPr>
    </w:lvl>
    <w:lvl w:ilvl="7" w:tplc="960CF540">
      <w:start w:val="1"/>
      <w:numFmt w:val="lowerLetter"/>
      <w:lvlText w:val="%8."/>
      <w:lvlJc w:val="left"/>
      <w:pPr>
        <w:ind w:left="6569" w:hanging="360"/>
      </w:pPr>
    </w:lvl>
    <w:lvl w:ilvl="8" w:tplc="3F2CE48C">
      <w:start w:val="1"/>
      <w:numFmt w:val="lowerRoman"/>
      <w:lvlText w:val="%9."/>
      <w:lvlJc w:val="right"/>
      <w:pPr>
        <w:ind w:left="7289" w:hanging="180"/>
      </w:pPr>
    </w:lvl>
  </w:abstractNum>
  <w:abstractNum w:abstractNumId="23" w15:restartNumberingAfterBreak="0">
    <w:nsid w:val="514F1A0C"/>
    <w:multiLevelType w:val="hybridMultilevel"/>
    <w:tmpl w:val="4B1A8F6E"/>
    <w:lvl w:ilvl="0" w:tplc="7BB67520">
      <w:start w:val="1"/>
      <w:numFmt w:val="lowerLetter"/>
      <w:lvlText w:val="%1."/>
      <w:lvlJc w:val="left"/>
      <w:pPr>
        <w:ind w:left="785" w:hanging="360"/>
      </w:pPr>
    </w:lvl>
    <w:lvl w:ilvl="1" w:tplc="B81C7984" w:tentative="1">
      <w:start w:val="1"/>
      <w:numFmt w:val="lowerLetter"/>
      <w:lvlText w:val="%2."/>
      <w:lvlJc w:val="left"/>
      <w:pPr>
        <w:ind w:left="1505" w:hanging="360"/>
      </w:pPr>
    </w:lvl>
    <w:lvl w:ilvl="2" w:tplc="642424FA" w:tentative="1">
      <w:start w:val="1"/>
      <w:numFmt w:val="lowerRoman"/>
      <w:lvlText w:val="%3."/>
      <w:lvlJc w:val="right"/>
      <w:pPr>
        <w:ind w:left="2225" w:hanging="180"/>
      </w:pPr>
    </w:lvl>
    <w:lvl w:ilvl="3" w:tplc="D3BEDB46" w:tentative="1">
      <w:start w:val="1"/>
      <w:numFmt w:val="decimal"/>
      <w:lvlText w:val="%4."/>
      <w:lvlJc w:val="left"/>
      <w:pPr>
        <w:ind w:left="2945" w:hanging="360"/>
      </w:pPr>
    </w:lvl>
    <w:lvl w:ilvl="4" w:tplc="949A649C" w:tentative="1">
      <w:start w:val="1"/>
      <w:numFmt w:val="lowerLetter"/>
      <w:lvlText w:val="%5."/>
      <w:lvlJc w:val="left"/>
      <w:pPr>
        <w:ind w:left="3665" w:hanging="360"/>
      </w:pPr>
    </w:lvl>
    <w:lvl w:ilvl="5" w:tplc="47A02146" w:tentative="1">
      <w:start w:val="1"/>
      <w:numFmt w:val="lowerRoman"/>
      <w:lvlText w:val="%6."/>
      <w:lvlJc w:val="right"/>
      <w:pPr>
        <w:ind w:left="4385" w:hanging="180"/>
      </w:pPr>
    </w:lvl>
    <w:lvl w:ilvl="6" w:tplc="F7B0AA66" w:tentative="1">
      <w:start w:val="1"/>
      <w:numFmt w:val="decimal"/>
      <w:lvlText w:val="%7."/>
      <w:lvlJc w:val="left"/>
      <w:pPr>
        <w:ind w:left="5105" w:hanging="360"/>
      </w:pPr>
    </w:lvl>
    <w:lvl w:ilvl="7" w:tplc="BCD6FEF6" w:tentative="1">
      <w:start w:val="1"/>
      <w:numFmt w:val="lowerLetter"/>
      <w:lvlText w:val="%8."/>
      <w:lvlJc w:val="left"/>
      <w:pPr>
        <w:ind w:left="5825" w:hanging="360"/>
      </w:pPr>
    </w:lvl>
    <w:lvl w:ilvl="8" w:tplc="F0B0498C" w:tentative="1">
      <w:start w:val="1"/>
      <w:numFmt w:val="lowerRoman"/>
      <w:lvlText w:val="%9."/>
      <w:lvlJc w:val="right"/>
      <w:pPr>
        <w:ind w:left="6545" w:hanging="180"/>
      </w:pPr>
    </w:lvl>
  </w:abstractNum>
  <w:abstractNum w:abstractNumId="24" w15:restartNumberingAfterBreak="0">
    <w:nsid w:val="646B1DD6"/>
    <w:multiLevelType w:val="hybridMultilevel"/>
    <w:tmpl w:val="FA04FC08"/>
    <w:lvl w:ilvl="0" w:tplc="6E44A2EC">
      <w:start w:val="1"/>
      <w:numFmt w:val="lowerLetter"/>
      <w:lvlText w:val="%1)"/>
      <w:lvlJc w:val="left"/>
      <w:pPr>
        <w:ind w:left="786" w:hanging="360"/>
      </w:pPr>
    </w:lvl>
    <w:lvl w:ilvl="1" w:tplc="A38E1BFA">
      <w:start w:val="1"/>
      <w:numFmt w:val="lowerLetter"/>
      <w:lvlText w:val="%2."/>
      <w:lvlJc w:val="left"/>
      <w:pPr>
        <w:ind w:left="1506" w:hanging="360"/>
      </w:pPr>
    </w:lvl>
    <w:lvl w:ilvl="2" w:tplc="B330E07E">
      <w:start w:val="1"/>
      <w:numFmt w:val="lowerLetter"/>
      <w:lvlText w:val="%3)"/>
      <w:lvlJc w:val="left"/>
      <w:pPr>
        <w:ind w:left="1847" w:hanging="180"/>
      </w:pPr>
    </w:lvl>
    <w:lvl w:ilvl="3" w:tplc="E9AE360C">
      <w:start w:val="1"/>
      <w:numFmt w:val="decimal"/>
      <w:lvlText w:val="%4."/>
      <w:lvlJc w:val="left"/>
      <w:pPr>
        <w:ind w:left="2946" w:hanging="360"/>
      </w:pPr>
    </w:lvl>
    <w:lvl w:ilvl="4" w:tplc="B7802CC4">
      <w:start w:val="1"/>
      <w:numFmt w:val="lowerLetter"/>
      <w:lvlText w:val="%5."/>
      <w:lvlJc w:val="left"/>
      <w:pPr>
        <w:ind w:left="3666" w:hanging="360"/>
      </w:pPr>
    </w:lvl>
    <w:lvl w:ilvl="5" w:tplc="B1466916">
      <w:start w:val="1"/>
      <w:numFmt w:val="lowerRoman"/>
      <w:lvlText w:val="%6."/>
      <w:lvlJc w:val="right"/>
      <w:pPr>
        <w:ind w:left="4386" w:hanging="180"/>
      </w:pPr>
    </w:lvl>
    <w:lvl w:ilvl="6" w:tplc="DFB49002">
      <w:start w:val="1"/>
      <w:numFmt w:val="decimal"/>
      <w:lvlText w:val="%7."/>
      <w:lvlJc w:val="left"/>
      <w:pPr>
        <w:ind w:left="5106" w:hanging="360"/>
      </w:pPr>
    </w:lvl>
    <w:lvl w:ilvl="7" w:tplc="1B7CBBE6">
      <w:start w:val="1"/>
      <w:numFmt w:val="lowerLetter"/>
      <w:lvlText w:val="%8."/>
      <w:lvlJc w:val="left"/>
      <w:pPr>
        <w:ind w:left="5826" w:hanging="360"/>
      </w:pPr>
    </w:lvl>
    <w:lvl w:ilvl="8" w:tplc="172EAA1E">
      <w:start w:val="1"/>
      <w:numFmt w:val="lowerRoman"/>
      <w:lvlText w:val="%9."/>
      <w:lvlJc w:val="right"/>
      <w:pPr>
        <w:ind w:left="6546" w:hanging="180"/>
      </w:pPr>
    </w:lvl>
  </w:abstractNum>
  <w:abstractNum w:abstractNumId="25" w15:restartNumberingAfterBreak="0">
    <w:nsid w:val="68FC5640"/>
    <w:multiLevelType w:val="hybridMultilevel"/>
    <w:tmpl w:val="B82E60AA"/>
    <w:lvl w:ilvl="0" w:tplc="23302F4E">
      <w:start w:val="1"/>
      <w:numFmt w:val="decimal"/>
      <w:lvlText w:val="%1."/>
      <w:lvlJc w:val="left"/>
      <w:pPr>
        <w:ind w:left="1866" w:hanging="360"/>
      </w:pPr>
    </w:lvl>
    <w:lvl w:ilvl="1" w:tplc="4CC6D480" w:tentative="1">
      <w:start w:val="1"/>
      <w:numFmt w:val="lowerLetter"/>
      <w:lvlText w:val="%2."/>
      <w:lvlJc w:val="left"/>
      <w:pPr>
        <w:ind w:left="2586" w:hanging="360"/>
      </w:pPr>
    </w:lvl>
    <w:lvl w:ilvl="2" w:tplc="B3728B22" w:tentative="1">
      <w:start w:val="1"/>
      <w:numFmt w:val="lowerRoman"/>
      <w:lvlText w:val="%3."/>
      <w:lvlJc w:val="right"/>
      <w:pPr>
        <w:ind w:left="3306" w:hanging="180"/>
      </w:pPr>
    </w:lvl>
    <w:lvl w:ilvl="3" w:tplc="F7F4E126" w:tentative="1">
      <w:start w:val="1"/>
      <w:numFmt w:val="decimal"/>
      <w:lvlText w:val="%4."/>
      <w:lvlJc w:val="left"/>
      <w:pPr>
        <w:ind w:left="4026" w:hanging="360"/>
      </w:pPr>
    </w:lvl>
    <w:lvl w:ilvl="4" w:tplc="F59C1012" w:tentative="1">
      <w:start w:val="1"/>
      <w:numFmt w:val="lowerLetter"/>
      <w:lvlText w:val="%5."/>
      <w:lvlJc w:val="left"/>
      <w:pPr>
        <w:ind w:left="4746" w:hanging="360"/>
      </w:pPr>
    </w:lvl>
    <w:lvl w:ilvl="5" w:tplc="FBCA0898" w:tentative="1">
      <w:start w:val="1"/>
      <w:numFmt w:val="lowerRoman"/>
      <w:lvlText w:val="%6."/>
      <w:lvlJc w:val="right"/>
      <w:pPr>
        <w:ind w:left="5466" w:hanging="180"/>
      </w:pPr>
    </w:lvl>
    <w:lvl w:ilvl="6" w:tplc="EA624A46" w:tentative="1">
      <w:start w:val="1"/>
      <w:numFmt w:val="decimal"/>
      <w:lvlText w:val="%7."/>
      <w:lvlJc w:val="left"/>
      <w:pPr>
        <w:ind w:left="6186" w:hanging="360"/>
      </w:pPr>
    </w:lvl>
    <w:lvl w:ilvl="7" w:tplc="DE702864" w:tentative="1">
      <w:start w:val="1"/>
      <w:numFmt w:val="lowerLetter"/>
      <w:lvlText w:val="%8."/>
      <w:lvlJc w:val="left"/>
      <w:pPr>
        <w:ind w:left="6906" w:hanging="360"/>
      </w:pPr>
    </w:lvl>
    <w:lvl w:ilvl="8" w:tplc="C7046C30" w:tentative="1">
      <w:start w:val="1"/>
      <w:numFmt w:val="lowerRoman"/>
      <w:lvlText w:val="%9."/>
      <w:lvlJc w:val="right"/>
      <w:pPr>
        <w:ind w:left="7626" w:hanging="180"/>
      </w:pPr>
    </w:lvl>
  </w:abstractNum>
  <w:abstractNum w:abstractNumId="26" w15:restartNumberingAfterBreak="0">
    <w:nsid w:val="69140416"/>
    <w:multiLevelType w:val="hybridMultilevel"/>
    <w:tmpl w:val="05FE5B12"/>
    <w:lvl w:ilvl="0" w:tplc="FFFFFFFF">
      <w:start w:val="1"/>
      <w:numFmt w:val="lowerRoman"/>
      <w:pStyle w:val="Romannumerallist"/>
      <w:lvlText w:val="%1."/>
      <w:lvlJc w:val="left"/>
      <w:pPr>
        <w:ind w:left="360" w:hanging="360"/>
      </w:pPr>
      <w:rPr>
        <w:rFonts w:ascii="Arial" w:hAnsi="Arial" w:hint="default"/>
        <w:sz w:val="24"/>
        <w:szCs w:val="22"/>
      </w:rPr>
    </w:lvl>
    <w:lvl w:ilvl="1" w:tplc="5AD61C90" w:tentative="1">
      <w:start w:val="1"/>
      <w:numFmt w:val="lowerLetter"/>
      <w:lvlText w:val="%2."/>
      <w:lvlJc w:val="left"/>
      <w:pPr>
        <w:tabs>
          <w:tab w:val="num" w:pos="1440"/>
        </w:tabs>
        <w:ind w:left="1440" w:hanging="360"/>
      </w:pPr>
    </w:lvl>
    <w:lvl w:ilvl="2" w:tplc="1342456A" w:tentative="1">
      <w:start w:val="1"/>
      <w:numFmt w:val="lowerRoman"/>
      <w:lvlText w:val="%3."/>
      <w:lvlJc w:val="right"/>
      <w:pPr>
        <w:tabs>
          <w:tab w:val="num" w:pos="2160"/>
        </w:tabs>
        <w:ind w:left="2160" w:hanging="180"/>
      </w:pPr>
    </w:lvl>
    <w:lvl w:ilvl="3" w:tplc="55CA7668" w:tentative="1">
      <w:start w:val="1"/>
      <w:numFmt w:val="decimal"/>
      <w:lvlText w:val="%4."/>
      <w:lvlJc w:val="left"/>
      <w:pPr>
        <w:tabs>
          <w:tab w:val="num" w:pos="2880"/>
        </w:tabs>
        <w:ind w:left="2880" w:hanging="360"/>
      </w:pPr>
    </w:lvl>
    <w:lvl w:ilvl="4" w:tplc="02329670" w:tentative="1">
      <w:start w:val="1"/>
      <w:numFmt w:val="lowerLetter"/>
      <w:lvlText w:val="%5."/>
      <w:lvlJc w:val="left"/>
      <w:pPr>
        <w:tabs>
          <w:tab w:val="num" w:pos="3600"/>
        </w:tabs>
        <w:ind w:left="3600" w:hanging="360"/>
      </w:pPr>
    </w:lvl>
    <w:lvl w:ilvl="5" w:tplc="EAB8438A" w:tentative="1">
      <w:start w:val="1"/>
      <w:numFmt w:val="lowerRoman"/>
      <w:lvlText w:val="%6."/>
      <w:lvlJc w:val="right"/>
      <w:pPr>
        <w:tabs>
          <w:tab w:val="num" w:pos="4320"/>
        </w:tabs>
        <w:ind w:left="4320" w:hanging="180"/>
      </w:pPr>
    </w:lvl>
    <w:lvl w:ilvl="6" w:tplc="68785A22" w:tentative="1">
      <w:start w:val="1"/>
      <w:numFmt w:val="decimal"/>
      <w:lvlText w:val="%7."/>
      <w:lvlJc w:val="left"/>
      <w:pPr>
        <w:tabs>
          <w:tab w:val="num" w:pos="5040"/>
        </w:tabs>
        <w:ind w:left="5040" w:hanging="360"/>
      </w:pPr>
    </w:lvl>
    <w:lvl w:ilvl="7" w:tplc="47D65B66" w:tentative="1">
      <w:start w:val="1"/>
      <w:numFmt w:val="lowerLetter"/>
      <w:lvlText w:val="%8."/>
      <w:lvlJc w:val="left"/>
      <w:pPr>
        <w:tabs>
          <w:tab w:val="num" w:pos="5760"/>
        </w:tabs>
        <w:ind w:left="5760" w:hanging="360"/>
      </w:pPr>
    </w:lvl>
    <w:lvl w:ilvl="8" w:tplc="F2C29E74" w:tentative="1">
      <w:start w:val="1"/>
      <w:numFmt w:val="lowerRoman"/>
      <w:lvlText w:val="%9."/>
      <w:lvlJc w:val="right"/>
      <w:pPr>
        <w:tabs>
          <w:tab w:val="num" w:pos="6480"/>
        </w:tabs>
        <w:ind w:left="6480" w:hanging="180"/>
      </w:pPr>
    </w:lvl>
  </w:abstractNum>
  <w:abstractNum w:abstractNumId="27" w15:restartNumberingAfterBreak="0">
    <w:nsid w:val="6B0863FD"/>
    <w:multiLevelType w:val="hybridMultilevel"/>
    <w:tmpl w:val="4DF8A46E"/>
    <w:lvl w:ilvl="0" w:tplc="62BC28EC">
      <w:start w:val="1"/>
      <w:numFmt w:val="decimal"/>
      <w:lvlText w:val="%1."/>
      <w:lvlJc w:val="left"/>
      <w:pPr>
        <w:ind w:left="1529" w:hanging="360"/>
      </w:pPr>
    </w:lvl>
    <w:lvl w:ilvl="1" w:tplc="4956C600">
      <w:start w:val="1"/>
      <w:numFmt w:val="bullet"/>
      <w:lvlText w:val="o"/>
      <w:lvlJc w:val="left"/>
      <w:pPr>
        <w:ind w:left="2249" w:hanging="360"/>
      </w:pPr>
      <w:rPr>
        <w:rFonts w:ascii="Courier New" w:hAnsi="Courier New" w:hint="default"/>
      </w:rPr>
    </w:lvl>
    <w:lvl w:ilvl="2" w:tplc="72A80BEC">
      <w:start w:val="1"/>
      <w:numFmt w:val="bullet"/>
      <w:lvlText w:val=""/>
      <w:lvlJc w:val="left"/>
      <w:pPr>
        <w:ind w:left="2969" w:hanging="360"/>
      </w:pPr>
      <w:rPr>
        <w:rFonts w:ascii="Wingdings" w:hAnsi="Wingdings" w:hint="default"/>
      </w:rPr>
    </w:lvl>
    <w:lvl w:ilvl="3" w:tplc="BE5C86BC">
      <w:start w:val="1"/>
      <w:numFmt w:val="bullet"/>
      <w:lvlText w:val=""/>
      <w:lvlJc w:val="left"/>
      <w:pPr>
        <w:ind w:left="3689" w:hanging="360"/>
      </w:pPr>
      <w:rPr>
        <w:rFonts w:ascii="Symbol" w:hAnsi="Symbol" w:hint="default"/>
      </w:rPr>
    </w:lvl>
    <w:lvl w:ilvl="4" w:tplc="6B66A75A">
      <w:start w:val="1"/>
      <w:numFmt w:val="bullet"/>
      <w:lvlText w:val="o"/>
      <w:lvlJc w:val="left"/>
      <w:pPr>
        <w:ind w:left="4409" w:hanging="360"/>
      </w:pPr>
      <w:rPr>
        <w:rFonts w:ascii="Courier New" w:hAnsi="Courier New" w:hint="default"/>
      </w:rPr>
    </w:lvl>
    <w:lvl w:ilvl="5" w:tplc="C346CC1C">
      <w:start w:val="1"/>
      <w:numFmt w:val="bullet"/>
      <w:lvlText w:val=""/>
      <w:lvlJc w:val="left"/>
      <w:pPr>
        <w:ind w:left="5129" w:hanging="360"/>
      </w:pPr>
      <w:rPr>
        <w:rFonts w:ascii="Wingdings" w:hAnsi="Wingdings" w:hint="default"/>
      </w:rPr>
    </w:lvl>
    <w:lvl w:ilvl="6" w:tplc="057E2844">
      <w:start w:val="1"/>
      <w:numFmt w:val="bullet"/>
      <w:lvlText w:val=""/>
      <w:lvlJc w:val="left"/>
      <w:pPr>
        <w:ind w:left="5849" w:hanging="360"/>
      </w:pPr>
      <w:rPr>
        <w:rFonts w:ascii="Symbol" w:hAnsi="Symbol" w:hint="default"/>
      </w:rPr>
    </w:lvl>
    <w:lvl w:ilvl="7" w:tplc="133096E8">
      <w:start w:val="1"/>
      <w:numFmt w:val="bullet"/>
      <w:lvlText w:val="o"/>
      <w:lvlJc w:val="left"/>
      <w:pPr>
        <w:ind w:left="6569" w:hanging="360"/>
      </w:pPr>
      <w:rPr>
        <w:rFonts w:ascii="Courier New" w:hAnsi="Courier New" w:hint="default"/>
      </w:rPr>
    </w:lvl>
    <w:lvl w:ilvl="8" w:tplc="CDE2DD5A">
      <w:start w:val="1"/>
      <w:numFmt w:val="bullet"/>
      <w:lvlText w:val=""/>
      <w:lvlJc w:val="left"/>
      <w:pPr>
        <w:ind w:left="7289" w:hanging="360"/>
      </w:pPr>
      <w:rPr>
        <w:rFonts w:ascii="Wingdings" w:hAnsi="Wingdings" w:hint="default"/>
      </w:rPr>
    </w:lvl>
  </w:abstractNum>
  <w:abstractNum w:abstractNumId="28" w15:restartNumberingAfterBreak="0">
    <w:nsid w:val="729D3037"/>
    <w:multiLevelType w:val="hybridMultilevel"/>
    <w:tmpl w:val="79146550"/>
    <w:lvl w:ilvl="0" w:tplc="36364514">
      <w:start w:val="1"/>
      <w:numFmt w:val="lowerLetter"/>
      <w:lvlText w:val="%1)"/>
      <w:lvlJc w:val="left"/>
      <w:pPr>
        <w:ind w:left="720" w:hanging="360"/>
      </w:pPr>
    </w:lvl>
    <w:lvl w:ilvl="1" w:tplc="79564A52" w:tentative="1">
      <w:start w:val="1"/>
      <w:numFmt w:val="lowerLetter"/>
      <w:lvlText w:val="%2."/>
      <w:lvlJc w:val="left"/>
      <w:pPr>
        <w:ind w:left="1440" w:hanging="360"/>
      </w:pPr>
    </w:lvl>
    <w:lvl w:ilvl="2" w:tplc="9B0EE038" w:tentative="1">
      <w:start w:val="1"/>
      <w:numFmt w:val="lowerRoman"/>
      <w:lvlText w:val="%3."/>
      <w:lvlJc w:val="right"/>
      <w:pPr>
        <w:ind w:left="2160" w:hanging="180"/>
      </w:pPr>
    </w:lvl>
    <w:lvl w:ilvl="3" w:tplc="789C9B1C" w:tentative="1">
      <w:start w:val="1"/>
      <w:numFmt w:val="decimal"/>
      <w:lvlText w:val="%4."/>
      <w:lvlJc w:val="left"/>
      <w:pPr>
        <w:ind w:left="2880" w:hanging="360"/>
      </w:pPr>
    </w:lvl>
    <w:lvl w:ilvl="4" w:tplc="26B2C25A" w:tentative="1">
      <w:start w:val="1"/>
      <w:numFmt w:val="lowerLetter"/>
      <w:lvlText w:val="%5."/>
      <w:lvlJc w:val="left"/>
      <w:pPr>
        <w:ind w:left="3600" w:hanging="360"/>
      </w:pPr>
    </w:lvl>
    <w:lvl w:ilvl="5" w:tplc="88A0C4D8" w:tentative="1">
      <w:start w:val="1"/>
      <w:numFmt w:val="lowerRoman"/>
      <w:lvlText w:val="%6."/>
      <w:lvlJc w:val="right"/>
      <w:pPr>
        <w:ind w:left="4320" w:hanging="180"/>
      </w:pPr>
    </w:lvl>
    <w:lvl w:ilvl="6" w:tplc="1FA8CC10" w:tentative="1">
      <w:start w:val="1"/>
      <w:numFmt w:val="decimal"/>
      <w:lvlText w:val="%7."/>
      <w:lvlJc w:val="left"/>
      <w:pPr>
        <w:ind w:left="5040" w:hanging="360"/>
      </w:pPr>
    </w:lvl>
    <w:lvl w:ilvl="7" w:tplc="3B768962" w:tentative="1">
      <w:start w:val="1"/>
      <w:numFmt w:val="lowerLetter"/>
      <w:lvlText w:val="%8."/>
      <w:lvlJc w:val="left"/>
      <w:pPr>
        <w:ind w:left="5760" w:hanging="360"/>
      </w:pPr>
    </w:lvl>
    <w:lvl w:ilvl="8" w:tplc="1C044332" w:tentative="1">
      <w:start w:val="1"/>
      <w:numFmt w:val="lowerRoman"/>
      <w:lvlText w:val="%9."/>
      <w:lvlJc w:val="right"/>
      <w:pPr>
        <w:ind w:left="6480" w:hanging="180"/>
      </w:pPr>
    </w:lvl>
  </w:abstractNum>
  <w:abstractNum w:abstractNumId="29" w15:restartNumberingAfterBreak="0">
    <w:nsid w:val="7750138C"/>
    <w:multiLevelType w:val="multilevel"/>
    <w:tmpl w:val="1548BA68"/>
    <w:lvl w:ilvl="0">
      <w:start w:val="1"/>
      <w:numFmt w:val="decimal"/>
      <w:lvlText w:val="%1"/>
      <w:lvlJc w:val="left"/>
      <w:pPr>
        <w:tabs>
          <w:tab w:val="num" w:pos="709"/>
        </w:tabs>
        <w:ind w:left="709" w:hanging="709"/>
      </w:pPr>
      <w:rPr>
        <w:b/>
      </w:rPr>
    </w:lvl>
    <w:lvl w:ilvl="1">
      <w:start w:val="1"/>
      <w:numFmt w:val="bullet"/>
      <w:lvlText w:val=""/>
      <w:lvlJc w:val="left"/>
      <w:pPr>
        <w:tabs>
          <w:tab w:val="num" w:pos="993"/>
        </w:tabs>
        <w:ind w:left="993" w:hanging="709"/>
      </w:pPr>
      <w:rPr>
        <w:rFonts w:ascii="Symbol" w:hAnsi="Symbol" w:hint="default"/>
        <w:b w:val="0"/>
        <w:i w:val="0"/>
        <w:color w:val="000000"/>
        <w:sz w:val="22"/>
        <w:szCs w:val="22"/>
      </w:rPr>
    </w:lvl>
    <w:lvl w:ilvl="2">
      <w:start w:val="1"/>
      <w:numFmt w:val="lowerLetter"/>
      <w:lvlText w:val="(%3)"/>
      <w:lvlJc w:val="left"/>
      <w:pPr>
        <w:tabs>
          <w:tab w:val="num" w:pos="809"/>
        </w:tabs>
        <w:ind w:left="809" w:hanging="709"/>
      </w:pPr>
      <w:rPr>
        <w:b w:val="0"/>
        <w:i w:val="0"/>
        <w:sz w:val="22"/>
        <w:szCs w:val="22"/>
      </w:rPr>
    </w:lvl>
    <w:lvl w:ilvl="3">
      <w:start w:val="1"/>
      <w:numFmt w:val="lowerRoman"/>
      <w:lvlText w:val="(%4)"/>
      <w:lvlJc w:val="left"/>
      <w:pPr>
        <w:tabs>
          <w:tab w:val="num" w:pos="2126"/>
        </w:tabs>
        <w:ind w:left="2126" w:hanging="708"/>
      </w:pPr>
      <w:rPr>
        <w:b w:val="0"/>
        <w:i w:val="0"/>
        <w:sz w:val="22"/>
        <w:szCs w:val="22"/>
      </w:rPr>
    </w:lvl>
    <w:lvl w:ilvl="4">
      <w:start w:val="1"/>
      <w:numFmt w:val="upperLetter"/>
      <w:lvlText w:val="(%5)"/>
      <w:lvlJc w:val="left"/>
      <w:pPr>
        <w:tabs>
          <w:tab w:val="num" w:pos="2836"/>
        </w:tabs>
        <w:ind w:left="2836" w:hanging="709"/>
      </w:pPr>
      <w:rPr>
        <w:b w:val="0"/>
        <w:i w:val="0"/>
      </w:rPr>
    </w:lvl>
    <w:lvl w:ilvl="5">
      <w:start w:val="1"/>
      <w:numFmt w:val="decimal"/>
      <w:lvlText w:val="%6)"/>
      <w:lvlJc w:val="left"/>
      <w:pPr>
        <w:tabs>
          <w:tab w:val="num" w:pos="3544"/>
        </w:tabs>
        <w:ind w:left="3544" w:hanging="708"/>
      </w:pPr>
    </w:lvl>
    <w:lvl w:ilvl="6">
      <w:start w:val="1"/>
      <w:numFmt w:val="decimal"/>
      <w:lvlText w:val="%7%3)"/>
      <w:lvlJc w:val="left"/>
      <w:pPr>
        <w:tabs>
          <w:tab w:val="num" w:pos="2714"/>
        </w:tabs>
        <w:ind w:left="2714" w:hanging="1296"/>
      </w:pPr>
    </w:lvl>
    <w:lvl w:ilvl="7">
      <w:start w:val="1"/>
      <w:numFmt w:val="lowerRoman"/>
      <w:lvlText w:val="%8)"/>
      <w:lvlJc w:val="left"/>
      <w:pPr>
        <w:tabs>
          <w:tab w:val="num" w:pos="2858"/>
        </w:tabs>
        <w:ind w:left="2858" w:hanging="1440"/>
      </w:pPr>
    </w:lvl>
    <w:lvl w:ilvl="8">
      <w:start w:val="1"/>
      <w:numFmt w:val="upperLetter"/>
      <w:lvlText w:val="%9)"/>
      <w:lvlJc w:val="left"/>
      <w:pPr>
        <w:tabs>
          <w:tab w:val="num" w:pos="3002"/>
        </w:tabs>
        <w:ind w:left="3002" w:hanging="1584"/>
      </w:pPr>
    </w:lvl>
  </w:abstractNum>
  <w:abstractNum w:abstractNumId="30" w15:restartNumberingAfterBreak="0">
    <w:nsid w:val="794F2CD0"/>
    <w:multiLevelType w:val="hybridMultilevel"/>
    <w:tmpl w:val="F46A1968"/>
    <w:lvl w:ilvl="0" w:tplc="EE189212">
      <w:start w:val="1"/>
      <w:numFmt w:val="lowerLetter"/>
      <w:lvlText w:val="%1."/>
      <w:lvlJc w:val="left"/>
      <w:pPr>
        <w:ind w:left="785" w:hanging="360"/>
      </w:pPr>
    </w:lvl>
    <w:lvl w:ilvl="1" w:tplc="603094CC" w:tentative="1">
      <w:start w:val="1"/>
      <w:numFmt w:val="lowerLetter"/>
      <w:lvlText w:val="%2."/>
      <w:lvlJc w:val="left"/>
      <w:pPr>
        <w:ind w:left="1505" w:hanging="360"/>
      </w:pPr>
    </w:lvl>
    <w:lvl w:ilvl="2" w:tplc="D682CB4A" w:tentative="1">
      <w:start w:val="1"/>
      <w:numFmt w:val="lowerRoman"/>
      <w:lvlText w:val="%3."/>
      <w:lvlJc w:val="right"/>
      <w:pPr>
        <w:ind w:left="2225" w:hanging="180"/>
      </w:pPr>
    </w:lvl>
    <w:lvl w:ilvl="3" w:tplc="5EBCA9CC" w:tentative="1">
      <w:start w:val="1"/>
      <w:numFmt w:val="decimal"/>
      <w:lvlText w:val="%4."/>
      <w:lvlJc w:val="left"/>
      <w:pPr>
        <w:ind w:left="2945" w:hanging="360"/>
      </w:pPr>
    </w:lvl>
    <w:lvl w:ilvl="4" w:tplc="A96AE264" w:tentative="1">
      <w:start w:val="1"/>
      <w:numFmt w:val="lowerLetter"/>
      <w:lvlText w:val="%5."/>
      <w:lvlJc w:val="left"/>
      <w:pPr>
        <w:ind w:left="3665" w:hanging="360"/>
      </w:pPr>
    </w:lvl>
    <w:lvl w:ilvl="5" w:tplc="D08ACE7A" w:tentative="1">
      <w:start w:val="1"/>
      <w:numFmt w:val="lowerRoman"/>
      <w:lvlText w:val="%6."/>
      <w:lvlJc w:val="right"/>
      <w:pPr>
        <w:ind w:left="4385" w:hanging="180"/>
      </w:pPr>
    </w:lvl>
    <w:lvl w:ilvl="6" w:tplc="A14ECFB4" w:tentative="1">
      <w:start w:val="1"/>
      <w:numFmt w:val="decimal"/>
      <w:lvlText w:val="%7."/>
      <w:lvlJc w:val="left"/>
      <w:pPr>
        <w:ind w:left="5105" w:hanging="360"/>
      </w:pPr>
    </w:lvl>
    <w:lvl w:ilvl="7" w:tplc="EB3A8E92" w:tentative="1">
      <w:start w:val="1"/>
      <w:numFmt w:val="lowerLetter"/>
      <w:lvlText w:val="%8."/>
      <w:lvlJc w:val="left"/>
      <w:pPr>
        <w:ind w:left="5825" w:hanging="360"/>
      </w:pPr>
    </w:lvl>
    <w:lvl w:ilvl="8" w:tplc="1F623B78" w:tentative="1">
      <w:start w:val="1"/>
      <w:numFmt w:val="lowerRoman"/>
      <w:lvlText w:val="%9."/>
      <w:lvlJc w:val="right"/>
      <w:pPr>
        <w:ind w:left="6545" w:hanging="180"/>
      </w:pPr>
    </w:lvl>
  </w:abstractNum>
  <w:num w:numId="1" w16cid:durableId="2087729808">
    <w:abstractNumId w:val="4"/>
  </w:num>
  <w:num w:numId="2" w16cid:durableId="1670399839">
    <w:abstractNumId w:val="21"/>
  </w:num>
  <w:num w:numId="3" w16cid:durableId="1186099409">
    <w:abstractNumId w:val="15"/>
  </w:num>
  <w:num w:numId="4" w16cid:durableId="93861340">
    <w:abstractNumId w:val="12"/>
  </w:num>
  <w:num w:numId="5" w16cid:durableId="192773939">
    <w:abstractNumId w:val="19"/>
  </w:num>
  <w:num w:numId="6" w16cid:durableId="1734542991">
    <w:abstractNumId w:val="5"/>
  </w:num>
  <w:num w:numId="7" w16cid:durableId="1105224860">
    <w:abstractNumId w:val="2"/>
  </w:num>
  <w:num w:numId="8" w16cid:durableId="547374374">
    <w:abstractNumId w:val="1"/>
  </w:num>
  <w:num w:numId="9" w16cid:durableId="111675684">
    <w:abstractNumId w:val="9"/>
  </w:num>
  <w:num w:numId="10" w16cid:durableId="2091534294">
    <w:abstractNumId w:val="17"/>
  </w:num>
  <w:num w:numId="11" w16cid:durableId="8023514">
    <w:abstractNumId w:val="18"/>
  </w:num>
  <w:num w:numId="12" w16cid:durableId="624889956">
    <w:abstractNumId w:val="22"/>
  </w:num>
  <w:num w:numId="13" w16cid:durableId="2119130582">
    <w:abstractNumId w:val="3"/>
  </w:num>
  <w:num w:numId="14" w16cid:durableId="1065488577">
    <w:abstractNumId w:val="28"/>
  </w:num>
  <w:num w:numId="15" w16cid:durableId="1468622948">
    <w:abstractNumId w:val="24"/>
  </w:num>
  <w:num w:numId="16" w16cid:durableId="1892377472">
    <w:abstractNumId w:val="25"/>
  </w:num>
  <w:num w:numId="17" w16cid:durableId="1446272531">
    <w:abstractNumId w:val="16"/>
  </w:num>
  <w:num w:numId="18" w16cid:durableId="122358017">
    <w:abstractNumId w:val="0"/>
  </w:num>
  <w:num w:numId="19" w16cid:durableId="984894302">
    <w:abstractNumId w:val="0"/>
  </w:num>
  <w:num w:numId="20" w16cid:durableId="2082561011">
    <w:abstractNumId w:val="29"/>
  </w:num>
  <w:num w:numId="21" w16cid:durableId="125633960">
    <w:abstractNumId w:val="8"/>
  </w:num>
  <w:num w:numId="22" w16cid:durableId="981890733">
    <w:abstractNumId w:val="30"/>
  </w:num>
  <w:num w:numId="23" w16cid:durableId="1093211812">
    <w:abstractNumId w:val="7"/>
  </w:num>
  <w:num w:numId="24" w16cid:durableId="418596291">
    <w:abstractNumId w:val="10"/>
  </w:num>
  <w:num w:numId="25" w16cid:durableId="1193223411">
    <w:abstractNumId w:val="20"/>
  </w:num>
  <w:num w:numId="26" w16cid:durableId="1407923335">
    <w:abstractNumId w:val="23"/>
  </w:num>
  <w:num w:numId="27" w16cid:durableId="1063523061">
    <w:abstractNumId w:val="12"/>
  </w:num>
  <w:num w:numId="28" w16cid:durableId="710687305">
    <w:abstractNumId w:val="6"/>
  </w:num>
  <w:num w:numId="29" w16cid:durableId="1242519568">
    <w:abstractNumId w:val="6"/>
  </w:num>
  <w:num w:numId="30" w16cid:durableId="1360080490">
    <w:abstractNumId w:val="27"/>
  </w:num>
  <w:num w:numId="31" w16cid:durableId="89469317">
    <w:abstractNumId w:val="13"/>
  </w:num>
  <w:num w:numId="32" w16cid:durableId="1913077409">
    <w:abstractNumId w:val="14"/>
  </w:num>
  <w:num w:numId="33" w16cid:durableId="2064134724">
    <w:abstractNumId w:val="16"/>
  </w:num>
  <w:num w:numId="34" w16cid:durableId="1843230010">
    <w:abstractNumId w:val="11"/>
  </w:num>
  <w:num w:numId="35" w16cid:durableId="1317685390">
    <w:abstractNumId w:val="26"/>
  </w:num>
  <w:num w:numId="36" w16cid:durableId="473063972">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readOnly" w:enforcement="1" w:cryptProviderType="rsaAES" w:cryptAlgorithmClass="hash" w:cryptAlgorithmType="typeAny" w:cryptAlgorithmSid="14" w:cryptSpinCount="100000" w:hash="eE+ilTVvUPp2nGPkRJZ4HyTR9iSRYWAi7imOod2T/WSr9czC0taYfyYSJSg487eJLNic288aIYmrA4O47AfP5g==" w:salt="036IqgHmQz6MVf/9flEF7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269"/>
    <w:rsid w:val="000013BB"/>
    <w:rsid w:val="000037CD"/>
    <w:rsid w:val="0001122E"/>
    <w:rsid w:val="00011AD3"/>
    <w:rsid w:val="00016652"/>
    <w:rsid w:val="000167C3"/>
    <w:rsid w:val="00016E65"/>
    <w:rsid w:val="0002042A"/>
    <w:rsid w:val="00020B0E"/>
    <w:rsid w:val="00020BE9"/>
    <w:rsid w:val="0002146E"/>
    <w:rsid w:val="00021803"/>
    <w:rsid w:val="00021AFF"/>
    <w:rsid w:val="00022B33"/>
    <w:rsid w:val="00023327"/>
    <w:rsid w:val="00023834"/>
    <w:rsid w:val="00023ECF"/>
    <w:rsid w:val="000251BB"/>
    <w:rsid w:val="00031D29"/>
    <w:rsid w:val="0003265B"/>
    <w:rsid w:val="00033133"/>
    <w:rsid w:val="00034022"/>
    <w:rsid w:val="0003405C"/>
    <w:rsid w:val="0003604B"/>
    <w:rsid w:val="00036A0B"/>
    <w:rsid w:val="00040B6F"/>
    <w:rsid w:val="000428DD"/>
    <w:rsid w:val="00042979"/>
    <w:rsid w:val="00043F90"/>
    <w:rsid w:val="000449C5"/>
    <w:rsid w:val="00044C0B"/>
    <w:rsid w:val="00053A1D"/>
    <w:rsid w:val="000542FD"/>
    <w:rsid w:val="00056BD0"/>
    <w:rsid w:val="00061A46"/>
    <w:rsid w:val="00062E5E"/>
    <w:rsid w:val="000638E7"/>
    <w:rsid w:val="00064CEC"/>
    <w:rsid w:val="00065F6B"/>
    <w:rsid w:val="00070028"/>
    <w:rsid w:val="00073262"/>
    <w:rsid w:val="00073657"/>
    <w:rsid w:val="00073752"/>
    <w:rsid w:val="00074485"/>
    <w:rsid w:val="00074E16"/>
    <w:rsid w:val="00077CF7"/>
    <w:rsid w:val="000813AC"/>
    <w:rsid w:val="00082EFC"/>
    <w:rsid w:val="00083F02"/>
    <w:rsid w:val="0008494A"/>
    <w:rsid w:val="000863B8"/>
    <w:rsid w:val="000873E6"/>
    <w:rsid w:val="00090269"/>
    <w:rsid w:val="00090866"/>
    <w:rsid w:val="00096325"/>
    <w:rsid w:val="00096E90"/>
    <w:rsid w:val="000A085A"/>
    <w:rsid w:val="000A1D19"/>
    <w:rsid w:val="000A38A0"/>
    <w:rsid w:val="000A56F8"/>
    <w:rsid w:val="000B18E7"/>
    <w:rsid w:val="000B1D0A"/>
    <w:rsid w:val="000B2D3B"/>
    <w:rsid w:val="000B7C61"/>
    <w:rsid w:val="000C38E2"/>
    <w:rsid w:val="000C4E6C"/>
    <w:rsid w:val="000C7E59"/>
    <w:rsid w:val="000D0F1A"/>
    <w:rsid w:val="000D2A06"/>
    <w:rsid w:val="000D3A87"/>
    <w:rsid w:val="000D7529"/>
    <w:rsid w:val="000D763D"/>
    <w:rsid w:val="000D7F3B"/>
    <w:rsid w:val="000E15AD"/>
    <w:rsid w:val="000E35B7"/>
    <w:rsid w:val="000E43D1"/>
    <w:rsid w:val="000F6356"/>
    <w:rsid w:val="000F7D75"/>
    <w:rsid w:val="0010185E"/>
    <w:rsid w:val="00102775"/>
    <w:rsid w:val="00103910"/>
    <w:rsid w:val="001050CB"/>
    <w:rsid w:val="001051CE"/>
    <w:rsid w:val="001101DB"/>
    <w:rsid w:val="00110437"/>
    <w:rsid w:val="001117A3"/>
    <w:rsid w:val="0011227F"/>
    <w:rsid w:val="00112B0B"/>
    <w:rsid w:val="00116B07"/>
    <w:rsid w:val="001212F3"/>
    <w:rsid w:val="001253A2"/>
    <w:rsid w:val="00126167"/>
    <w:rsid w:val="0013250C"/>
    <w:rsid w:val="00132BA3"/>
    <w:rsid w:val="001335B7"/>
    <w:rsid w:val="0014054A"/>
    <w:rsid w:val="001428BF"/>
    <w:rsid w:val="00146C4B"/>
    <w:rsid w:val="00150331"/>
    <w:rsid w:val="001544E7"/>
    <w:rsid w:val="00156546"/>
    <w:rsid w:val="0015753F"/>
    <w:rsid w:val="0016139B"/>
    <w:rsid w:val="001613F7"/>
    <w:rsid w:val="00161D39"/>
    <w:rsid w:val="00161E96"/>
    <w:rsid w:val="00170DF1"/>
    <w:rsid w:val="00171AA3"/>
    <w:rsid w:val="00171E3C"/>
    <w:rsid w:val="0017227D"/>
    <w:rsid w:val="0017291D"/>
    <w:rsid w:val="00174689"/>
    <w:rsid w:val="00180579"/>
    <w:rsid w:val="001811DD"/>
    <w:rsid w:val="00182247"/>
    <w:rsid w:val="001835F2"/>
    <w:rsid w:val="0018597D"/>
    <w:rsid w:val="00190275"/>
    <w:rsid w:val="00190AB2"/>
    <w:rsid w:val="00190FC3"/>
    <w:rsid w:val="00192654"/>
    <w:rsid w:val="00194FE7"/>
    <w:rsid w:val="001957DB"/>
    <w:rsid w:val="0019739F"/>
    <w:rsid w:val="001A0D5B"/>
    <w:rsid w:val="001A1326"/>
    <w:rsid w:val="001A240C"/>
    <w:rsid w:val="001A3C03"/>
    <w:rsid w:val="001A3D9B"/>
    <w:rsid w:val="001A3E22"/>
    <w:rsid w:val="001A416E"/>
    <w:rsid w:val="001A633D"/>
    <w:rsid w:val="001A6EAD"/>
    <w:rsid w:val="001B006F"/>
    <w:rsid w:val="001B0AAA"/>
    <w:rsid w:val="001B19F7"/>
    <w:rsid w:val="001B4487"/>
    <w:rsid w:val="001B493F"/>
    <w:rsid w:val="001B5928"/>
    <w:rsid w:val="001C0A2A"/>
    <w:rsid w:val="001C6858"/>
    <w:rsid w:val="001C6AE3"/>
    <w:rsid w:val="001D7519"/>
    <w:rsid w:val="001D7EBC"/>
    <w:rsid w:val="001E0CCA"/>
    <w:rsid w:val="001E1CD3"/>
    <w:rsid w:val="001E240C"/>
    <w:rsid w:val="001E41CB"/>
    <w:rsid w:val="001E48BB"/>
    <w:rsid w:val="001E604C"/>
    <w:rsid w:val="001F77CF"/>
    <w:rsid w:val="00207B2B"/>
    <w:rsid w:val="00207F3A"/>
    <w:rsid w:val="0021008E"/>
    <w:rsid w:val="00211A53"/>
    <w:rsid w:val="00212173"/>
    <w:rsid w:val="00212C59"/>
    <w:rsid w:val="002158C4"/>
    <w:rsid w:val="00215DA5"/>
    <w:rsid w:val="00217720"/>
    <w:rsid w:val="00222862"/>
    <w:rsid w:val="00224F1D"/>
    <w:rsid w:val="00227075"/>
    <w:rsid w:val="002331CB"/>
    <w:rsid w:val="00233CD8"/>
    <w:rsid w:val="00234DF5"/>
    <w:rsid w:val="002350C3"/>
    <w:rsid w:val="002361DB"/>
    <w:rsid w:val="002421CB"/>
    <w:rsid w:val="0024655B"/>
    <w:rsid w:val="0025069E"/>
    <w:rsid w:val="00250E1C"/>
    <w:rsid w:val="00252D06"/>
    <w:rsid w:val="00254502"/>
    <w:rsid w:val="00254FA5"/>
    <w:rsid w:val="002554AB"/>
    <w:rsid w:val="00257D95"/>
    <w:rsid w:val="00260861"/>
    <w:rsid w:val="00262C28"/>
    <w:rsid w:val="002633A2"/>
    <w:rsid w:val="002655B4"/>
    <w:rsid w:val="00265CC9"/>
    <w:rsid w:val="00266243"/>
    <w:rsid w:val="00270FF3"/>
    <w:rsid w:val="00271E38"/>
    <w:rsid w:val="00273D24"/>
    <w:rsid w:val="002764F9"/>
    <w:rsid w:val="00286BC0"/>
    <w:rsid w:val="0028791E"/>
    <w:rsid w:val="0029143C"/>
    <w:rsid w:val="00292BC4"/>
    <w:rsid w:val="002946A3"/>
    <w:rsid w:val="00295A46"/>
    <w:rsid w:val="00297261"/>
    <w:rsid w:val="002A0A5D"/>
    <w:rsid w:val="002A5F5C"/>
    <w:rsid w:val="002B23A2"/>
    <w:rsid w:val="002B23BD"/>
    <w:rsid w:val="002B3921"/>
    <w:rsid w:val="002C3649"/>
    <w:rsid w:val="002C462B"/>
    <w:rsid w:val="002C72B7"/>
    <w:rsid w:val="002D04B6"/>
    <w:rsid w:val="002D0957"/>
    <w:rsid w:val="002D6D10"/>
    <w:rsid w:val="002E05E5"/>
    <w:rsid w:val="002E06FF"/>
    <w:rsid w:val="002E1775"/>
    <w:rsid w:val="002E2039"/>
    <w:rsid w:val="002E52CE"/>
    <w:rsid w:val="002E5438"/>
    <w:rsid w:val="002E7326"/>
    <w:rsid w:val="002E7FDF"/>
    <w:rsid w:val="002F258A"/>
    <w:rsid w:val="002F2EE6"/>
    <w:rsid w:val="002F40E6"/>
    <w:rsid w:val="003021B0"/>
    <w:rsid w:val="0030262A"/>
    <w:rsid w:val="0030390E"/>
    <w:rsid w:val="00303C8E"/>
    <w:rsid w:val="00311C21"/>
    <w:rsid w:val="00312592"/>
    <w:rsid w:val="00312917"/>
    <w:rsid w:val="00313BF8"/>
    <w:rsid w:val="00314A58"/>
    <w:rsid w:val="00315901"/>
    <w:rsid w:val="003161BF"/>
    <w:rsid w:val="00316468"/>
    <w:rsid w:val="0032048A"/>
    <w:rsid w:val="003226BB"/>
    <w:rsid w:val="00323D16"/>
    <w:rsid w:val="00330248"/>
    <w:rsid w:val="00331A33"/>
    <w:rsid w:val="003354C0"/>
    <w:rsid w:val="0034437A"/>
    <w:rsid w:val="00346D0B"/>
    <w:rsid w:val="00347534"/>
    <w:rsid w:val="0034777C"/>
    <w:rsid w:val="00350E08"/>
    <w:rsid w:val="003523C8"/>
    <w:rsid w:val="0035485E"/>
    <w:rsid w:val="003553FB"/>
    <w:rsid w:val="003557B9"/>
    <w:rsid w:val="00357143"/>
    <w:rsid w:val="003609AA"/>
    <w:rsid w:val="003637D0"/>
    <w:rsid w:val="00363F8B"/>
    <w:rsid w:val="00366EC0"/>
    <w:rsid w:val="00367C8C"/>
    <w:rsid w:val="00367F73"/>
    <w:rsid w:val="003706C0"/>
    <w:rsid w:val="0037189D"/>
    <w:rsid w:val="00375C3E"/>
    <w:rsid w:val="003800A3"/>
    <w:rsid w:val="0038123B"/>
    <w:rsid w:val="003818A6"/>
    <w:rsid w:val="00381E26"/>
    <w:rsid w:val="00384515"/>
    <w:rsid w:val="00386EBC"/>
    <w:rsid w:val="003871E2"/>
    <w:rsid w:val="00390134"/>
    <w:rsid w:val="0039052F"/>
    <w:rsid w:val="00391E4C"/>
    <w:rsid w:val="0039688A"/>
    <w:rsid w:val="003969E1"/>
    <w:rsid w:val="00396BDC"/>
    <w:rsid w:val="0039742B"/>
    <w:rsid w:val="00397605"/>
    <w:rsid w:val="003A13AF"/>
    <w:rsid w:val="003A2AA0"/>
    <w:rsid w:val="003A3699"/>
    <w:rsid w:val="003B0476"/>
    <w:rsid w:val="003B2C3A"/>
    <w:rsid w:val="003B492A"/>
    <w:rsid w:val="003B6314"/>
    <w:rsid w:val="003C144B"/>
    <w:rsid w:val="003C65AE"/>
    <w:rsid w:val="003D0DAD"/>
    <w:rsid w:val="003E0F7A"/>
    <w:rsid w:val="003E225D"/>
    <w:rsid w:val="003E297E"/>
    <w:rsid w:val="003E35BC"/>
    <w:rsid w:val="003E553D"/>
    <w:rsid w:val="003F5018"/>
    <w:rsid w:val="003F6A84"/>
    <w:rsid w:val="00401449"/>
    <w:rsid w:val="00403327"/>
    <w:rsid w:val="004034EB"/>
    <w:rsid w:val="0040361E"/>
    <w:rsid w:val="0040385D"/>
    <w:rsid w:val="004046F5"/>
    <w:rsid w:val="00404781"/>
    <w:rsid w:val="004054DC"/>
    <w:rsid w:val="00405CB1"/>
    <w:rsid w:val="00405D7C"/>
    <w:rsid w:val="004075EA"/>
    <w:rsid w:val="00412093"/>
    <w:rsid w:val="00414F3A"/>
    <w:rsid w:val="00417E95"/>
    <w:rsid w:val="004203E4"/>
    <w:rsid w:val="0042344D"/>
    <w:rsid w:val="00423A9C"/>
    <w:rsid w:val="00427253"/>
    <w:rsid w:val="00431BAA"/>
    <w:rsid w:val="00431F46"/>
    <w:rsid w:val="0043345F"/>
    <w:rsid w:val="00434BBC"/>
    <w:rsid w:val="00436A53"/>
    <w:rsid w:val="0044400B"/>
    <w:rsid w:val="0045078F"/>
    <w:rsid w:val="004507D5"/>
    <w:rsid w:val="00450F98"/>
    <w:rsid w:val="00451507"/>
    <w:rsid w:val="00452137"/>
    <w:rsid w:val="00452864"/>
    <w:rsid w:val="00453D38"/>
    <w:rsid w:val="004554FB"/>
    <w:rsid w:val="004567AC"/>
    <w:rsid w:val="00462DC9"/>
    <w:rsid w:val="004637F0"/>
    <w:rsid w:val="00463C26"/>
    <w:rsid w:val="00465BDA"/>
    <w:rsid w:val="00466C28"/>
    <w:rsid w:val="00473746"/>
    <w:rsid w:val="00474280"/>
    <w:rsid w:val="00476B3A"/>
    <w:rsid w:val="004773BC"/>
    <w:rsid w:val="00477505"/>
    <w:rsid w:val="0048081A"/>
    <w:rsid w:val="004838FC"/>
    <w:rsid w:val="00484BA4"/>
    <w:rsid w:val="004858D7"/>
    <w:rsid w:val="00487A6F"/>
    <w:rsid w:val="0049085D"/>
    <w:rsid w:val="00493335"/>
    <w:rsid w:val="004940A4"/>
    <w:rsid w:val="00494E39"/>
    <w:rsid w:val="00496D29"/>
    <w:rsid w:val="004A1354"/>
    <w:rsid w:val="004A199F"/>
    <w:rsid w:val="004A5CCD"/>
    <w:rsid w:val="004B10D0"/>
    <w:rsid w:val="004B11BB"/>
    <w:rsid w:val="004B2D00"/>
    <w:rsid w:val="004B5953"/>
    <w:rsid w:val="004B5DA3"/>
    <w:rsid w:val="004B7793"/>
    <w:rsid w:val="004C0907"/>
    <w:rsid w:val="004C1C5F"/>
    <w:rsid w:val="004C34FE"/>
    <w:rsid w:val="004C403C"/>
    <w:rsid w:val="004C521F"/>
    <w:rsid w:val="004C6B65"/>
    <w:rsid w:val="004C6BEC"/>
    <w:rsid w:val="004C6C2A"/>
    <w:rsid w:val="004C77FD"/>
    <w:rsid w:val="004C78D5"/>
    <w:rsid w:val="004C7F42"/>
    <w:rsid w:val="004D31B8"/>
    <w:rsid w:val="004D32C0"/>
    <w:rsid w:val="004D433F"/>
    <w:rsid w:val="004D4605"/>
    <w:rsid w:val="004E0C57"/>
    <w:rsid w:val="004E185C"/>
    <w:rsid w:val="004E37CF"/>
    <w:rsid w:val="004E382B"/>
    <w:rsid w:val="004E3C82"/>
    <w:rsid w:val="004F1F83"/>
    <w:rsid w:val="004F40A4"/>
    <w:rsid w:val="004F4913"/>
    <w:rsid w:val="00505AF9"/>
    <w:rsid w:val="005107FE"/>
    <w:rsid w:val="00511615"/>
    <w:rsid w:val="00512B8C"/>
    <w:rsid w:val="00513588"/>
    <w:rsid w:val="00513924"/>
    <w:rsid w:val="0051498B"/>
    <w:rsid w:val="0051688C"/>
    <w:rsid w:val="00520D61"/>
    <w:rsid w:val="00527121"/>
    <w:rsid w:val="00531AED"/>
    <w:rsid w:val="00536486"/>
    <w:rsid w:val="005367C0"/>
    <w:rsid w:val="00537E25"/>
    <w:rsid w:val="005402DC"/>
    <w:rsid w:val="00540381"/>
    <w:rsid w:val="00541828"/>
    <w:rsid w:val="005426AD"/>
    <w:rsid w:val="0054288E"/>
    <w:rsid w:val="00551712"/>
    <w:rsid w:val="00554838"/>
    <w:rsid w:val="00556BE0"/>
    <w:rsid w:val="00557118"/>
    <w:rsid w:val="00557E63"/>
    <w:rsid w:val="00557F46"/>
    <w:rsid w:val="00566141"/>
    <w:rsid w:val="005722AE"/>
    <w:rsid w:val="00573684"/>
    <w:rsid w:val="005767BB"/>
    <w:rsid w:val="005800AA"/>
    <w:rsid w:val="00580B1D"/>
    <w:rsid w:val="005852A3"/>
    <w:rsid w:val="00585E2D"/>
    <w:rsid w:val="00587036"/>
    <w:rsid w:val="005912E3"/>
    <w:rsid w:val="00592AEB"/>
    <w:rsid w:val="00594DB2"/>
    <w:rsid w:val="00597A40"/>
    <w:rsid w:val="00597AA3"/>
    <w:rsid w:val="005A1F1A"/>
    <w:rsid w:val="005A1F6D"/>
    <w:rsid w:val="005A2FD0"/>
    <w:rsid w:val="005A6A79"/>
    <w:rsid w:val="005A7BB4"/>
    <w:rsid w:val="005B063B"/>
    <w:rsid w:val="005B12D4"/>
    <w:rsid w:val="005B4447"/>
    <w:rsid w:val="005B5F19"/>
    <w:rsid w:val="005C0E33"/>
    <w:rsid w:val="005C1B0A"/>
    <w:rsid w:val="005C43A6"/>
    <w:rsid w:val="005C51E0"/>
    <w:rsid w:val="005C5B08"/>
    <w:rsid w:val="005D0F64"/>
    <w:rsid w:val="005D31BE"/>
    <w:rsid w:val="005D377B"/>
    <w:rsid w:val="005E1E35"/>
    <w:rsid w:val="005E54B8"/>
    <w:rsid w:val="005E6EDE"/>
    <w:rsid w:val="005E7E15"/>
    <w:rsid w:val="005F46DC"/>
    <w:rsid w:val="005F472E"/>
    <w:rsid w:val="006077D3"/>
    <w:rsid w:val="00610966"/>
    <w:rsid w:val="006129BD"/>
    <w:rsid w:val="00615492"/>
    <w:rsid w:val="00615AF5"/>
    <w:rsid w:val="00616259"/>
    <w:rsid w:val="006209A3"/>
    <w:rsid w:val="0062143E"/>
    <w:rsid w:val="00621B67"/>
    <w:rsid w:val="006227E6"/>
    <w:rsid w:val="00624EB2"/>
    <w:rsid w:val="00626F8B"/>
    <w:rsid w:val="006306C6"/>
    <w:rsid w:val="006328A9"/>
    <w:rsid w:val="00633B5A"/>
    <w:rsid w:val="00634A40"/>
    <w:rsid w:val="0063792A"/>
    <w:rsid w:val="00640111"/>
    <w:rsid w:val="00640FC3"/>
    <w:rsid w:val="0064286E"/>
    <w:rsid w:val="00644AB3"/>
    <w:rsid w:val="00644E21"/>
    <w:rsid w:val="00645032"/>
    <w:rsid w:val="0064553A"/>
    <w:rsid w:val="0064557B"/>
    <w:rsid w:val="00645ED2"/>
    <w:rsid w:val="00651A8F"/>
    <w:rsid w:val="006533B9"/>
    <w:rsid w:val="0065649E"/>
    <w:rsid w:val="006569BC"/>
    <w:rsid w:val="00656B10"/>
    <w:rsid w:val="00657DC8"/>
    <w:rsid w:val="006618C4"/>
    <w:rsid w:val="006662DC"/>
    <w:rsid w:val="006668F1"/>
    <w:rsid w:val="00667B56"/>
    <w:rsid w:val="0067064F"/>
    <w:rsid w:val="006708F8"/>
    <w:rsid w:val="00671338"/>
    <w:rsid w:val="00672C1B"/>
    <w:rsid w:val="00673D5F"/>
    <w:rsid w:val="006748C5"/>
    <w:rsid w:val="00676DD7"/>
    <w:rsid w:val="006824AF"/>
    <w:rsid w:val="00682B10"/>
    <w:rsid w:val="006841CB"/>
    <w:rsid w:val="006873F2"/>
    <w:rsid w:val="006878D2"/>
    <w:rsid w:val="0068792B"/>
    <w:rsid w:val="0069378F"/>
    <w:rsid w:val="00693905"/>
    <w:rsid w:val="0069588C"/>
    <w:rsid w:val="006A058C"/>
    <w:rsid w:val="006A11F1"/>
    <w:rsid w:val="006A14F3"/>
    <w:rsid w:val="006A1639"/>
    <w:rsid w:val="006A190E"/>
    <w:rsid w:val="006A19A3"/>
    <w:rsid w:val="006A305C"/>
    <w:rsid w:val="006A365A"/>
    <w:rsid w:val="006B00EF"/>
    <w:rsid w:val="006B0403"/>
    <w:rsid w:val="006B0543"/>
    <w:rsid w:val="006B2E77"/>
    <w:rsid w:val="006B3909"/>
    <w:rsid w:val="006B391D"/>
    <w:rsid w:val="006B3CB0"/>
    <w:rsid w:val="006B57E2"/>
    <w:rsid w:val="006C1A58"/>
    <w:rsid w:val="006C27EC"/>
    <w:rsid w:val="006C454F"/>
    <w:rsid w:val="006C5D62"/>
    <w:rsid w:val="006C6E62"/>
    <w:rsid w:val="006D0D40"/>
    <w:rsid w:val="006D11F1"/>
    <w:rsid w:val="006D2491"/>
    <w:rsid w:val="006D48AD"/>
    <w:rsid w:val="006D5504"/>
    <w:rsid w:val="006D7F76"/>
    <w:rsid w:val="006E1688"/>
    <w:rsid w:val="006E25A1"/>
    <w:rsid w:val="006E2751"/>
    <w:rsid w:val="006E4476"/>
    <w:rsid w:val="006E4E17"/>
    <w:rsid w:val="006E6868"/>
    <w:rsid w:val="006E76F8"/>
    <w:rsid w:val="006F48B6"/>
    <w:rsid w:val="006F51F8"/>
    <w:rsid w:val="006F52F1"/>
    <w:rsid w:val="006F64C6"/>
    <w:rsid w:val="006F6914"/>
    <w:rsid w:val="006F7D42"/>
    <w:rsid w:val="00700836"/>
    <w:rsid w:val="00700E6F"/>
    <w:rsid w:val="007037AB"/>
    <w:rsid w:val="00705406"/>
    <w:rsid w:val="00706A65"/>
    <w:rsid w:val="00711162"/>
    <w:rsid w:val="00711A44"/>
    <w:rsid w:val="00712488"/>
    <w:rsid w:val="00713E2E"/>
    <w:rsid w:val="007140B2"/>
    <w:rsid w:val="00714281"/>
    <w:rsid w:val="007165CE"/>
    <w:rsid w:val="0071692D"/>
    <w:rsid w:val="0072053F"/>
    <w:rsid w:val="00721C1B"/>
    <w:rsid w:val="007249BA"/>
    <w:rsid w:val="00726212"/>
    <w:rsid w:val="0072659C"/>
    <w:rsid w:val="00730C7A"/>
    <w:rsid w:val="007329E9"/>
    <w:rsid w:val="00732E2A"/>
    <w:rsid w:val="0073426D"/>
    <w:rsid w:val="00743560"/>
    <w:rsid w:val="00743570"/>
    <w:rsid w:val="007447E4"/>
    <w:rsid w:val="007466B0"/>
    <w:rsid w:val="00746F9F"/>
    <w:rsid w:val="00747561"/>
    <w:rsid w:val="0075359B"/>
    <w:rsid w:val="00754773"/>
    <w:rsid w:val="00755719"/>
    <w:rsid w:val="00755756"/>
    <w:rsid w:val="00762C16"/>
    <w:rsid w:val="00762C4D"/>
    <w:rsid w:val="007651FB"/>
    <w:rsid w:val="007661FD"/>
    <w:rsid w:val="00771D2F"/>
    <w:rsid w:val="00774494"/>
    <w:rsid w:val="00775CAC"/>
    <w:rsid w:val="007761CE"/>
    <w:rsid w:val="00776B98"/>
    <w:rsid w:val="00780EE3"/>
    <w:rsid w:val="00781482"/>
    <w:rsid w:val="00782426"/>
    <w:rsid w:val="00782E2A"/>
    <w:rsid w:val="00782FC8"/>
    <w:rsid w:val="007835C5"/>
    <w:rsid w:val="00785ED1"/>
    <w:rsid w:val="0079030A"/>
    <w:rsid w:val="00795224"/>
    <w:rsid w:val="00795B63"/>
    <w:rsid w:val="00797200"/>
    <w:rsid w:val="007A0A14"/>
    <w:rsid w:val="007A12CA"/>
    <w:rsid w:val="007A284C"/>
    <w:rsid w:val="007A4C7B"/>
    <w:rsid w:val="007A77A6"/>
    <w:rsid w:val="007B046F"/>
    <w:rsid w:val="007B0B0E"/>
    <w:rsid w:val="007B3D23"/>
    <w:rsid w:val="007C1673"/>
    <w:rsid w:val="007C289E"/>
    <w:rsid w:val="007C40F0"/>
    <w:rsid w:val="007C4ABA"/>
    <w:rsid w:val="007C5587"/>
    <w:rsid w:val="007C76C3"/>
    <w:rsid w:val="007D555F"/>
    <w:rsid w:val="007D55F5"/>
    <w:rsid w:val="007E19BA"/>
    <w:rsid w:val="007E2DE3"/>
    <w:rsid w:val="007E5495"/>
    <w:rsid w:val="007E7DA0"/>
    <w:rsid w:val="007F0D79"/>
    <w:rsid w:val="007F1412"/>
    <w:rsid w:val="007F2F5E"/>
    <w:rsid w:val="007F37F8"/>
    <w:rsid w:val="007F3D0E"/>
    <w:rsid w:val="007F4E80"/>
    <w:rsid w:val="007F50A6"/>
    <w:rsid w:val="00800857"/>
    <w:rsid w:val="00804098"/>
    <w:rsid w:val="00804943"/>
    <w:rsid w:val="00804C25"/>
    <w:rsid w:val="00805FA0"/>
    <w:rsid w:val="00806F6E"/>
    <w:rsid w:val="008127B0"/>
    <w:rsid w:val="00814C07"/>
    <w:rsid w:val="00815A27"/>
    <w:rsid w:val="00815BF3"/>
    <w:rsid w:val="00816242"/>
    <w:rsid w:val="00823212"/>
    <w:rsid w:val="00826C56"/>
    <w:rsid w:val="00826D8E"/>
    <w:rsid w:val="00832E1E"/>
    <w:rsid w:val="00834CB9"/>
    <w:rsid w:val="00834DF9"/>
    <w:rsid w:val="00835E01"/>
    <w:rsid w:val="008409E5"/>
    <w:rsid w:val="008428A4"/>
    <w:rsid w:val="008435A7"/>
    <w:rsid w:val="00851270"/>
    <w:rsid w:val="0085220D"/>
    <w:rsid w:val="00856672"/>
    <w:rsid w:val="008625E4"/>
    <w:rsid w:val="008705C5"/>
    <w:rsid w:val="00875F65"/>
    <w:rsid w:val="00877589"/>
    <w:rsid w:val="00877A38"/>
    <w:rsid w:val="00882AFB"/>
    <w:rsid w:val="00884548"/>
    <w:rsid w:val="0088528B"/>
    <w:rsid w:val="00885B22"/>
    <w:rsid w:val="008868DA"/>
    <w:rsid w:val="00887686"/>
    <w:rsid w:val="008926D2"/>
    <w:rsid w:val="00893FDD"/>
    <w:rsid w:val="008943CA"/>
    <w:rsid w:val="008947EB"/>
    <w:rsid w:val="0089537C"/>
    <w:rsid w:val="00896355"/>
    <w:rsid w:val="008A1676"/>
    <w:rsid w:val="008A2014"/>
    <w:rsid w:val="008A221C"/>
    <w:rsid w:val="008A5E73"/>
    <w:rsid w:val="008A6904"/>
    <w:rsid w:val="008A6992"/>
    <w:rsid w:val="008A7FB8"/>
    <w:rsid w:val="008B1ADF"/>
    <w:rsid w:val="008B204D"/>
    <w:rsid w:val="008B34C4"/>
    <w:rsid w:val="008B51E7"/>
    <w:rsid w:val="008B59A3"/>
    <w:rsid w:val="008B6535"/>
    <w:rsid w:val="008B6F52"/>
    <w:rsid w:val="008B7496"/>
    <w:rsid w:val="008C28DA"/>
    <w:rsid w:val="008C32AA"/>
    <w:rsid w:val="008C337E"/>
    <w:rsid w:val="008C3C56"/>
    <w:rsid w:val="008C4E77"/>
    <w:rsid w:val="008C54D6"/>
    <w:rsid w:val="008C5A37"/>
    <w:rsid w:val="008C663A"/>
    <w:rsid w:val="008C6947"/>
    <w:rsid w:val="008C7BF3"/>
    <w:rsid w:val="008D1F1B"/>
    <w:rsid w:val="008D2A37"/>
    <w:rsid w:val="008D2ED9"/>
    <w:rsid w:val="008D3157"/>
    <w:rsid w:val="008D3677"/>
    <w:rsid w:val="008D3C7E"/>
    <w:rsid w:val="008D6211"/>
    <w:rsid w:val="008D698F"/>
    <w:rsid w:val="008D796F"/>
    <w:rsid w:val="008D7D9F"/>
    <w:rsid w:val="008E3170"/>
    <w:rsid w:val="008E4333"/>
    <w:rsid w:val="008E4FC0"/>
    <w:rsid w:val="008E579C"/>
    <w:rsid w:val="008F21EE"/>
    <w:rsid w:val="008F22F0"/>
    <w:rsid w:val="008F415B"/>
    <w:rsid w:val="008F5EA2"/>
    <w:rsid w:val="008F66E0"/>
    <w:rsid w:val="008F734B"/>
    <w:rsid w:val="00900D7D"/>
    <w:rsid w:val="0090223D"/>
    <w:rsid w:val="00902D8C"/>
    <w:rsid w:val="00903494"/>
    <w:rsid w:val="00904F72"/>
    <w:rsid w:val="00910DF8"/>
    <w:rsid w:val="0091488C"/>
    <w:rsid w:val="00914E04"/>
    <w:rsid w:val="00915321"/>
    <w:rsid w:val="0092397C"/>
    <w:rsid w:val="009241A7"/>
    <w:rsid w:val="00924548"/>
    <w:rsid w:val="00925A7E"/>
    <w:rsid w:val="00926A38"/>
    <w:rsid w:val="009270B1"/>
    <w:rsid w:val="00927633"/>
    <w:rsid w:val="00930C68"/>
    <w:rsid w:val="00932E42"/>
    <w:rsid w:val="009340B2"/>
    <w:rsid w:val="00935C24"/>
    <w:rsid w:val="00937CE4"/>
    <w:rsid w:val="00940D45"/>
    <w:rsid w:val="00943D30"/>
    <w:rsid w:val="0094402E"/>
    <w:rsid w:val="00946F59"/>
    <w:rsid w:val="0095034E"/>
    <w:rsid w:val="00950972"/>
    <w:rsid w:val="00950ABE"/>
    <w:rsid w:val="00950D28"/>
    <w:rsid w:val="00950F6E"/>
    <w:rsid w:val="00952AB2"/>
    <w:rsid w:val="0095317B"/>
    <w:rsid w:val="009538F3"/>
    <w:rsid w:val="0095445D"/>
    <w:rsid w:val="00955022"/>
    <w:rsid w:val="009558DD"/>
    <w:rsid w:val="00961872"/>
    <w:rsid w:val="00961B16"/>
    <w:rsid w:val="0096231A"/>
    <w:rsid w:val="00967E5C"/>
    <w:rsid w:val="0097042B"/>
    <w:rsid w:val="00970656"/>
    <w:rsid w:val="00973234"/>
    <w:rsid w:val="0097369B"/>
    <w:rsid w:val="0098181C"/>
    <w:rsid w:val="00981FCB"/>
    <w:rsid w:val="00982044"/>
    <w:rsid w:val="00982366"/>
    <w:rsid w:val="00990035"/>
    <w:rsid w:val="009955C8"/>
    <w:rsid w:val="009959BC"/>
    <w:rsid w:val="009A0376"/>
    <w:rsid w:val="009A2A6C"/>
    <w:rsid w:val="009A31A5"/>
    <w:rsid w:val="009A3BC8"/>
    <w:rsid w:val="009A40D5"/>
    <w:rsid w:val="009A5A6C"/>
    <w:rsid w:val="009A6C75"/>
    <w:rsid w:val="009A7206"/>
    <w:rsid w:val="009B1517"/>
    <w:rsid w:val="009B2302"/>
    <w:rsid w:val="009B25C9"/>
    <w:rsid w:val="009B70EA"/>
    <w:rsid w:val="009B77A6"/>
    <w:rsid w:val="009C08E0"/>
    <w:rsid w:val="009C299F"/>
    <w:rsid w:val="009C2F77"/>
    <w:rsid w:val="009C3AB4"/>
    <w:rsid w:val="009C543E"/>
    <w:rsid w:val="009C6599"/>
    <w:rsid w:val="009D0284"/>
    <w:rsid w:val="009D45FC"/>
    <w:rsid w:val="009D4DEA"/>
    <w:rsid w:val="009D4E46"/>
    <w:rsid w:val="009D6E53"/>
    <w:rsid w:val="009E12DF"/>
    <w:rsid w:val="009E16B1"/>
    <w:rsid w:val="009E309F"/>
    <w:rsid w:val="009E5065"/>
    <w:rsid w:val="009E5861"/>
    <w:rsid w:val="009E6FE7"/>
    <w:rsid w:val="009F200F"/>
    <w:rsid w:val="009F2EB5"/>
    <w:rsid w:val="009F359B"/>
    <w:rsid w:val="009F7CD6"/>
    <w:rsid w:val="009F7D97"/>
    <w:rsid w:val="00A00886"/>
    <w:rsid w:val="00A041FD"/>
    <w:rsid w:val="00A04D89"/>
    <w:rsid w:val="00A0600B"/>
    <w:rsid w:val="00A06471"/>
    <w:rsid w:val="00A14175"/>
    <w:rsid w:val="00A14BE0"/>
    <w:rsid w:val="00A17BDD"/>
    <w:rsid w:val="00A20FBA"/>
    <w:rsid w:val="00A214F7"/>
    <w:rsid w:val="00A25262"/>
    <w:rsid w:val="00A30CB9"/>
    <w:rsid w:val="00A32FE8"/>
    <w:rsid w:val="00A33C1B"/>
    <w:rsid w:val="00A35CD1"/>
    <w:rsid w:val="00A36D73"/>
    <w:rsid w:val="00A428B3"/>
    <w:rsid w:val="00A4498F"/>
    <w:rsid w:val="00A45385"/>
    <w:rsid w:val="00A455BA"/>
    <w:rsid w:val="00A46995"/>
    <w:rsid w:val="00A46C7C"/>
    <w:rsid w:val="00A500CF"/>
    <w:rsid w:val="00A51BF0"/>
    <w:rsid w:val="00A52A70"/>
    <w:rsid w:val="00A53699"/>
    <w:rsid w:val="00A54DE0"/>
    <w:rsid w:val="00A63F49"/>
    <w:rsid w:val="00A64908"/>
    <w:rsid w:val="00A6595D"/>
    <w:rsid w:val="00A667A6"/>
    <w:rsid w:val="00A67DAC"/>
    <w:rsid w:val="00A707F7"/>
    <w:rsid w:val="00A71868"/>
    <w:rsid w:val="00A7249E"/>
    <w:rsid w:val="00A76E66"/>
    <w:rsid w:val="00A84F5C"/>
    <w:rsid w:val="00A85081"/>
    <w:rsid w:val="00A87272"/>
    <w:rsid w:val="00A90F81"/>
    <w:rsid w:val="00A9128C"/>
    <w:rsid w:val="00A91901"/>
    <w:rsid w:val="00A94693"/>
    <w:rsid w:val="00A96418"/>
    <w:rsid w:val="00AA181B"/>
    <w:rsid w:val="00AA277B"/>
    <w:rsid w:val="00AA5AED"/>
    <w:rsid w:val="00AA68FF"/>
    <w:rsid w:val="00AA766A"/>
    <w:rsid w:val="00AB1F6E"/>
    <w:rsid w:val="00AB23D5"/>
    <w:rsid w:val="00AB31C2"/>
    <w:rsid w:val="00AB3D76"/>
    <w:rsid w:val="00AB4B6D"/>
    <w:rsid w:val="00AC3BFC"/>
    <w:rsid w:val="00AC3CC6"/>
    <w:rsid w:val="00AC54CE"/>
    <w:rsid w:val="00AD244E"/>
    <w:rsid w:val="00AD2924"/>
    <w:rsid w:val="00AD3629"/>
    <w:rsid w:val="00AD7625"/>
    <w:rsid w:val="00AE22B9"/>
    <w:rsid w:val="00AE2416"/>
    <w:rsid w:val="00AE3293"/>
    <w:rsid w:val="00AE5090"/>
    <w:rsid w:val="00AE55D0"/>
    <w:rsid w:val="00AE5667"/>
    <w:rsid w:val="00AE6008"/>
    <w:rsid w:val="00AE7E5B"/>
    <w:rsid w:val="00AF07F8"/>
    <w:rsid w:val="00AF3A2D"/>
    <w:rsid w:val="00AF47BD"/>
    <w:rsid w:val="00AF6530"/>
    <w:rsid w:val="00AF77C4"/>
    <w:rsid w:val="00B02FB6"/>
    <w:rsid w:val="00B033ED"/>
    <w:rsid w:val="00B05DD2"/>
    <w:rsid w:val="00B06BBE"/>
    <w:rsid w:val="00B0739C"/>
    <w:rsid w:val="00B07E5B"/>
    <w:rsid w:val="00B1194A"/>
    <w:rsid w:val="00B14499"/>
    <w:rsid w:val="00B1580F"/>
    <w:rsid w:val="00B16370"/>
    <w:rsid w:val="00B17697"/>
    <w:rsid w:val="00B2000D"/>
    <w:rsid w:val="00B201F4"/>
    <w:rsid w:val="00B202E1"/>
    <w:rsid w:val="00B22833"/>
    <w:rsid w:val="00B22D40"/>
    <w:rsid w:val="00B247F8"/>
    <w:rsid w:val="00B263D2"/>
    <w:rsid w:val="00B33BC6"/>
    <w:rsid w:val="00B35D2C"/>
    <w:rsid w:val="00B36FE8"/>
    <w:rsid w:val="00B40037"/>
    <w:rsid w:val="00B4032D"/>
    <w:rsid w:val="00B40BEE"/>
    <w:rsid w:val="00B42F6F"/>
    <w:rsid w:val="00B43917"/>
    <w:rsid w:val="00B4676C"/>
    <w:rsid w:val="00B503D1"/>
    <w:rsid w:val="00B51F5B"/>
    <w:rsid w:val="00B52110"/>
    <w:rsid w:val="00B52CCA"/>
    <w:rsid w:val="00B53DFA"/>
    <w:rsid w:val="00B60EC2"/>
    <w:rsid w:val="00B6221D"/>
    <w:rsid w:val="00B63568"/>
    <w:rsid w:val="00B63EF6"/>
    <w:rsid w:val="00B64116"/>
    <w:rsid w:val="00B65433"/>
    <w:rsid w:val="00B702E4"/>
    <w:rsid w:val="00B707EF"/>
    <w:rsid w:val="00B71789"/>
    <w:rsid w:val="00B73514"/>
    <w:rsid w:val="00B753D3"/>
    <w:rsid w:val="00B769A3"/>
    <w:rsid w:val="00B77258"/>
    <w:rsid w:val="00B7734E"/>
    <w:rsid w:val="00B8016E"/>
    <w:rsid w:val="00B808D4"/>
    <w:rsid w:val="00B80D43"/>
    <w:rsid w:val="00B80FDE"/>
    <w:rsid w:val="00B81D9C"/>
    <w:rsid w:val="00B8275E"/>
    <w:rsid w:val="00B848A7"/>
    <w:rsid w:val="00B857B9"/>
    <w:rsid w:val="00B86144"/>
    <w:rsid w:val="00B86F36"/>
    <w:rsid w:val="00B9109E"/>
    <w:rsid w:val="00B93F43"/>
    <w:rsid w:val="00B948FD"/>
    <w:rsid w:val="00B95DF1"/>
    <w:rsid w:val="00B96787"/>
    <w:rsid w:val="00BA16FA"/>
    <w:rsid w:val="00BA3910"/>
    <w:rsid w:val="00BA6212"/>
    <w:rsid w:val="00BA62DE"/>
    <w:rsid w:val="00BA7E59"/>
    <w:rsid w:val="00BB0AE7"/>
    <w:rsid w:val="00BC1505"/>
    <w:rsid w:val="00BC1B8B"/>
    <w:rsid w:val="00BC2216"/>
    <w:rsid w:val="00BC27A2"/>
    <w:rsid w:val="00BC7867"/>
    <w:rsid w:val="00BD3818"/>
    <w:rsid w:val="00BD3C02"/>
    <w:rsid w:val="00BD4710"/>
    <w:rsid w:val="00BD6C33"/>
    <w:rsid w:val="00BD6EF1"/>
    <w:rsid w:val="00BE0BB4"/>
    <w:rsid w:val="00BE107E"/>
    <w:rsid w:val="00BE12E2"/>
    <w:rsid w:val="00BE174A"/>
    <w:rsid w:val="00BE3365"/>
    <w:rsid w:val="00BE627F"/>
    <w:rsid w:val="00BE6E37"/>
    <w:rsid w:val="00BF2AD5"/>
    <w:rsid w:val="00BF630A"/>
    <w:rsid w:val="00C027BB"/>
    <w:rsid w:val="00C02B6F"/>
    <w:rsid w:val="00C034C2"/>
    <w:rsid w:val="00C05AC5"/>
    <w:rsid w:val="00C06E3E"/>
    <w:rsid w:val="00C076C4"/>
    <w:rsid w:val="00C10192"/>
    <w:rsid w:val="00C13317"/>
    <w:rsid w:val="00C134D7"/>
    <w:rsid w:val="00C134E2"/>
    <w:rsid w:val="00C1588F"/>
    <w:rsid w:val="00C15C16"/>
    <w:rsid w:val="00C17FD8"/>
    <w:rsid w:val="00C240F8"/>
    <w:rsid w:val="00C25A59"/>
    <w:rsid w:val="00C26117"/>
    <w:rsid w:val="00C261F3"/>
    <w:rsid w:val="00C30A8A"/>
    <w:rsid w:val="00C31443"/>
    <w:rsid w:val="00C32401"/>
    <w:rsid w:val="00C328C7"/>
    <w:rsid w:val="00C36F24"/>
    <w:rsid w:val="00C37728"/>
    <w:rsid w:val="00C3F993"/>
    <w:rsid w:val="00C40D8E"/>
    <w:rsid w:val="00C4243C"/>
    <w:rsid w:val="00C430E1"/>
    <w:rsid w:val="00C44F25"/>
    <w:rsid w:val="00C4522F"/>
    <w:rsid w:val="00C45375"/>
    <w:rsid w:val="00C52AE9"/>
    <w:rsid w:val="00C533D8"/>
    <w:rsid w:val="00C57ED1"/>
    <w:rsid w:val="00C57F5C"/>
    <w:rsid w:val="00C612F5"/>
    <w:rsid w:val="00C61504"/>
    <w:rsid w:val="00C61995"/>
    <w:rsid w:val="00C6587F"/>
    <w:rsid w:val="00C65AD7"/>
    <w:rsid w:val="00C66B95"/>
    <w:rsid w:val="00C70039"/>
    <w:rsid w:val="00C73AF6"/>
    <w:rsid w:val="00C768BB"/>
    <w:rsid w:val="00C77745"/>
    <w:rsid w:val="00C778A0"/>
    <w:rsid w:val="00C80A63"/>
    <w:rsid w:val="00C86FD9"/>
    <w:rsid w:val="00C87AAE"/>
    <w:rsid w:val="00C9302E"/>
    <w:rsid w:val="00C930E3"/>
    <w:rsid w:val="00C93E5E"/>
    <w:rsid w:val="00CA30BE"/>
    <w:rsid w:val="00CA35A2"/>
    <w:rsid w:val="00CA4860"/>
    <w:rsid w:val="00CA7D54"/>
    <w:rsid w:val="00CB47AB"/>
    <w:rsid w:val="00CB622B"/>
    <w:rsid w:val="00CC6CBC"/>
    <w:rsid w:val="00CD0238"/>
    <w:rsid w:val="00CD5E90"/>
    <w:rsid w:val="00CD6A05"/>
    <w:rsid w:val="00CE5A55"/>
    <w:rsid w:val="00CE666A"/>
    <w:rsid w:val="00CE741D"/>
    <w:rsid w:val="00CF099D"/>
    <w:rsid w:val="00CF478D"/>
    <w:rsid w:val="00CF6A5C"/>
    <w:rsid w:val="00CF7176"/>
    <w:rsid w:val="00D0278E"/>
    <w:rsid w:val="00D0422D"/>
    <w:rsid w:val="00D06617"/>
    <w:rsid w:val="00D07CB8"/>
    <w:rsid w:val="00D11BC3"/>
    <w:rsid w:val="00D14338"/>
    <w:rsid w:val="00D1450B"/>
    <w:rsid w:val="00D14AC1"/>
    <w:rsid w:val="00D14E0E"/>
    <w:rsid w:val="00D1648A"/>
    <w:rsid w:val="00D1662C"/>
    <w:rsid w:val="00D168E5"/>
    <w:rsid w:val="00D220CB"/>
    <w:rsid w:val="00D23FBE"/>
    <w:rsid w:val="00D3039E"/>
    <w:rsid w:val="00D3263E"/>
    <w:rsid w:val="00D332A6"/>
    <w:rsid w:val="00D35063"/>
    <w:rsid w:val="00D3735D"/>
    <w:rsid w:val="00D44C39"/>
    <w:rsid w:val="00D4589A"/>
    <w:rsid w:val="00D47BEB"/>
    <w:rsid w:val="00D50F4E"/>
    <w:rsid w:val="00D537B2"/>
    <w:rsid w:val="00D53809"/>
    <w:rsid w:val="00D53844"/>
    <w:rsid w:val="00D545F9"/>
    <w:rsid w:val="00D5484B"/>
    <w:rsid w:val="00D54AEC"/>
    <w:rsid w:val="00D55915"/>
    <w:rsid w:val="00D57DAD"/>
    <w:rsid w:val="00D6045D"/>
    <w:rsid w:val="00D60D38"/>
    <w:rsid w:val="00D62BAD"/>
    <w:rsid w:val="00D62EC3"/>
    <w:rsid w:val="00D71CFB"/>
    <w:rsid w:val="00D74907"/>
    <w:rsid w:val="00D76C63"/>
    <w:rsid w:val="00D80A1F"/>
    <w:rsid w:val="00D83B45"/>
    <w:rsid w:val="00D84B21"/>
    <w:rsid w:val="00D92587"/>
    <w:rsid w:val="00D931BF"/>
    <w:rsid w:val="00D9698A"/>
    <w:rsid w:val="00DA1E86"/>
    <w:rsid w:val="00DA5785"/>
    <w:rsid w:val="00DA5E55"/>
    <w:rsid w:val="00DB35DA"/>
    <w:rsid w:val="00DB4D9E"/>
    <w:rsid w:val="00DB5036"/>
    <w:rsid w:val="00DB7BBE"/>
    <w:rsid w:val="00DC16D8"/>
    <w:rsid w:val="00DC2693"/>
    <w:rsid w:val="00DC37D0"/>
    <w:rsid w:val="00DC5FD4"/>
    <w:rsid w:val="00DC6D37"/>
    <w:rsid w:val="00DC7000"/>
    <w:rsid w:val="00DD1433"/>
    <w:rsid w:val="00DE01D7"/>
    <w:rsid w:val="00DE07D0"/>
    <w:rsid w:val="00DE08B0"/>
    <w:rsid w:val="00DE18A5"/>
    <w:rsid w:val="00DE4007"/>
    <w:rsid w:val="00DE5EF2"/>
    <w:rsid w:val="00DF07DA"/>
    <w:rsid w:val="00DF0E4A"/>
    <w:rsid w:val="00DF3657"/>
    <w:rsid w:val="00DF428C"/>
    <w:rsid w:val="00DF53D2"/>
    <w:rsid w:val="00DF5405"/>
    <w:rsid w:val="00E002D8"/>
    <w:rsid w:val="00E01BDC"/>
    <w:rsid w:val="00E0370F"/>
    <w:rsid w:val="00E06560"/>
    <w:rsid w:val="00E11C99"/>
    <w:rsid w:val="00E1362A"/>
    <w:rsid w:val="00E1468A"/>
    <w:rsid w:val="00E14901"/>
    <w:rsid w:val="00E17312"/>
    <w:rsid w:val="00E24422"/>
    <w:rsid w:val="00E2450D"/>
    <w:rsid w:val="00E24A34"/>
    <w:rsid w:val="00E24F23"/>
    <w:rsid w:val="00E30C82"/>
    <w:rsid w:val="00E31C27"/>
    <w:rsid w:val="00E3206C"/>
    <w:rsid w:val="00E342D5"/>
    <w:rsid w:val="00E35310"/>
    <w:rsid w:val="00E41AE1"/>
    <w:rsid w:val="00E420F9"/>
    <w:rsid w:val="00E4580E"/>
    <w:rsid w:val="00E45AF7"/>
    <w:rsid w:val="00E46901"/>
    <w:rsid w:val="00E47A44"/>
    <w:rsid w:val="00E5181F"/>
    <w:rsid w:val="00E55063"/>
    <w:rsid w:val="00E58BBB"/>
    <w:rsid w:val="00E613F2"/>
    <w:rsid w:val="00E6426C"/>
    <w:rsid w:val="00E666BC"/>
    <w:rsid w:val="00E671DA"/>
    <w:rsid w:val="00E705DA"/>
    <w:rsid w:val="00E7311D"/>
    <w:rsid w:val="00E743EC"/>
    <w:rsid w:val="00E7457A"/>
    <w:rsid w:val="00E76831"/>
    <w:rsid w:val="00E7798D"/>
    <w:rsid w:val="00E77A01"/>
    <w:rsid w:val="00E839B6"/>
    <w:rsid w:val="00E90B13"/>
    <w:rsid w:val="00E91AE6"/>
    <w:rsid w:val="00E93E47"/>
    <w:rsid w:val="00E941B3"/>
    <w:rsid w:val="00E942F4"/>
    <w:rsid w:val="00E968F7"/>
    <w:rsid w:val="00EA205A"/>
    <w:rsid w:val="00EA688B"/>
    <w:rsid w:val="00EB203B"/>
    <w:rsid w:val="00EB36A5"/>
    <w:rsid w:val="00EB4EF8"/>
    <w:rsid w:val="00EC16ED"/>
    <w:rsid w:val="00EC2CD0"/>
    <w:rsid w:val="00ED4882"/>
    <w:rsid w:val="00ED5D8F"/>
    <w:rsid w:val="00ED5D96"/>
    <w:rsid w:val="00ED691E"/>
    <w:rsid w:val="00EE04C4"/>
    <w:rsid w:val="00EE161A"/>
    <w:rsid w:val="00EE1AF8"/>
    <w:rsid w:val="00EE2AE8"/>
    <w:rsid w:val="00EE31B2"/>
    <w:rsid w:val="00EE7EC3"/>
    <w:rsid w:val="00EF1E26"/>
    <w:rsid w:val="00EF22E8"/>
    <w:rsid w:val="00EF33F5"/>
    <w:rsid w:val="00EF3746"/>
    <w:rsid w:val="00EF43EE"/>
    <w:rsid w:val="00EF5C6F"/>
    <w:rsid w:val="00EF71C2"/>
    <w:rsid w:val="00F0434C"/>
    <w:rsid w:val="00F05422"/>
    <w:rsid w:val="00F0675D"/>
    <w:rsid w:val="00F06BC1"/>
    <w:rsid w:val="00F07522"/>
    <w:rsid w:val="00F144E3"/>
    <w:rsid w:val="00F14D90"/>
    <w:rsid w:val="00F203FB"/>
    <w:rsid w:val="00F233D7"/>
    <w:rsid w:val="00F2758F"/>
    <w:rsid w:val="00F35F51"/>
    <w:rsid w:val="00F36496"/>
    <w:rsid w:val="00F3673C"/>
    <w:rsid w:val="00F41137"/>
    <w:rsid w:val="00F47F7F"/>
    <w:rsid w:val="00F51BBA"/>
    <w:rsid w:val="00F52B9B"/>
    <w:rsid w:val="00F52D3B"/>
    <w:rsid w:val="00F545CF"/>
    <w:rsid w:val="00F57C8E"/>
    <w:rsid w:val="00F604A4"/>
    <w:rsid w:val="00F6111F"/>
    <w:rsid w:val="00F632DB"/>
    <w:rsid w:val="00F712E3"/>
    <w:rsid w:val="00F73388"/>
    <w:rsid w:val="00F749CD"/>
    <w:rsid w:val="00F76020"/>
    <w:rsid w:val="00F82E8B"/>
    <w:rsid w:val="00F87F10"/>
    <w:rsid w:val="00F92117"/>
    <w:rsid w:val="00F938C0"/>
    <w:rsid w:val="00FA2EF3"/>
    <w:rsid w:val="00FA536F"/>
    <w:rsid w:val="00FA7D77"/>
    <w:rsid w:val="00FB1FB8"/>
    <w:rsid w:val="00FB4ADB"/>
    <w:rsid w:val="00FB6AA9"/>
    <w:rsid w:val="00FB7980"/>
    <w:rsid w:val="00FC11C2"/>
    <w:rsid w:val="00FC19B7"/>
    <w:rsid w:val="00FC23CD"/>
    <w:rsid w:val="00FC58C3"/>
    <w:rsid w:val="00FC5F23"/>
    <w:rsid w:val="00FC706F"/>
    <w:rsid w:val="00FD2505"/>
    <w:rsid w:val="00FD278A"/>
    <w:rsid w:val="00FD4B44"/>
    <w:rsid w:val="00FD664F"/>
    <w:rsid w:val="00FD767A"/>
    <w:rsid w:val="00FE14E8"/>
    <w:rsid w:val="00FE221A"/>
    <w:rsid w:val="00FE23F5"/>
    <w:rsid w:val="00FE2FE8"/>
    <w:rsid w:val="00FE3678"/>
    <w:rsid w:val="00FE51EB"/>
    <w:rsid w:val="00FE529A"/>
    <w:rsid w:val="00FE53C5"/>
    <w:rsid w:val="00FE56E3"/>
    <w:rsid w:val="00FF11F3"/>
    <w:rsid w:val="00FF2DD9"/>
    <w:rsid w:val="00FF5273"/>
    <w:rsid w:val="00FF5D80"/>
    <w:rsid w:val="00FF66F0"/>
    <w:rsid w:val="012C58CE"/>
    <w:rsid w:val="0185E85C"/>
    <w:rsid w:val="023F38FA"/>
    <w:rsid w:val="0275669F"/>
    <w:rsid w:val="0285F03A"/>
    <w:rsid w:val="02BB2C2E"/>
    <w:rsid w:val="03B14CEB"/>
    <w:rsid w:val="04973684"/>
    <w:rsid w:val="04EDD867"/>
    <w:rsid w:val="0559A39D"/>
    <w:rsid w:val="05D363E6"/>
    <w:rsid w:val="05F03009"/>
    <w:rsid w:val="06C6BD7A"/>
    <w:rsid w:val="0838AEF8"/>
    <w:rsid w:val="084CA4C0"/>
    <w:rsid w:val="08A23221"/>
    <w:rsid w:val="08B12650"/>
    <w:rsid w:val="09AE1447"/>
    <w:rsid w:val="0A4F1A44"/>
    <w:rsid w:val="0AC3C6A4"/>
    <w:rsid w:val="0AE8695D"/>
    <w:rsid w:val="0C01E7F3"/>
    <w:rsid w:val="0C355765"/>
    <w:rsid w:val="0C9E8FC2"/>
    <w:rsid w:val="0D6EC294"/>
    <w:rsid w:val="0DAFBD74"/>
    <w:rsid w:val="0DD3961C"/>
    <w:rsid w:val="0DFC8742"/>
    <w:rsid w:val="0DFC984B"/>
    <w:rsid w:val="0E1AACEB"/>
    <w:rsid w:val="108AB05C"/>
    <w:rsid w:val="10CD371B"/>
    <w:rsid w:val="1108A87A"/>
    <w:rsid w:val="11696A2C"/>
    <w:rsid w:val="11977B6C"/>
    <w:rsid w:val="11E46B13"/>
    <w:rsid w:val="128E0DEC"/>
    <w:rsid w:val="1336D8D8"/>
    <w:rsid w:val="135990BD"/>
    <w:rsid w:val="138B76EB"/>
    <w:rsid w:val="13F52E08"/>
    <w:rsid w:val="1420C465"/>
    <w:rsid w:val="148085C0"/>
    <w:rsid w:val="15380037"/>
    <w:rsid w:val="1597EA6C"/>
    <w:rsid w:val="15D5B5A7"/>
    <w:rsid w:val="1605B4F7"/>
    <w:rsid w:val="1699BAB1"/>
    <w:rsid w:val="173AE91E"/>
    <w:rsid w:val="1750975F"/>
    <w:rsid w:val="17861A12"/>
    <w:rsid w:val="1C3AC029"/>
    <w:rsid w:val="1C5982AD"/>
    <w:rsid w:val="1C7907AC"/>
    <w:rsid w:val="1C7D7902"/>
    <w:rsid w:val="1C8AA024"/>
    <w:rsid w:val="1D0BCEB0"/>
    <w:rsid w:val="1F796717"/>
    <w:rsid w:val="1F9AA7E2"/>
    <w:rsid w:val="1FAD4061"/>
    <w:rsid w:val="1FAEF7EF"/>
    <w:rsid w:val="1FC656F9"/>
    <w:rsid w:val="203998D7"/>
    <w:rsid w:val="21BAD39E"/>
    <w:rsid w:val="21D6228F"/>
    <w:rsid w:val="21ED1CC6"/>
    <w:rsid w:val="2231E26B"/>
    <w:rsid w:val="22FAE9BE"/>
    <w:rsid w:val="24124772"/>
    <w:rsid w:val="2438A6F4"/>
    <w:rsid w:val="251EEECB"/>
    <w:rsid w:val="260504CF"/>
    <w:rsid w:val="26AC06E7"/>
    <w:rsid w:val="26E4D97F"/>
    <w:rsid w:val="2857547A"/>
    <w:rsid w:val="2A0279F1"/>
    <w:rsid w:val="2A26E990"/>
    <w:rsid w:val="2A580DB2"/>
    <w:rsid w:val="2A6A76DF"/>
    <w:rsid w:val="2A85C5E8"/>
    <w:rsid w:val="2ADD564D"/>
    <w:rsid w:val="2BE5CD05"/>
    <w:rsid w:val="2D7EB613"/>
    <w:rsid w:val="2DD65D95"/>
    <w:rsid w:val="2E22D715"/>
    <w:rsid w:val="2E7BC497"/>
    <w:rsid w:val="2ECC9947"/>
    <w:rsid w:val="2F004E08"/>
    <w:rsid w:val="3064C4A1"/>
    <w:rsid w:val="307F1ACB"/>
    <w:rsid w:val="308CA1ED"/>
    <w:rsid w:val="30C4AA8A"/>
    <w:rsid w:val="30FB64CC"/>
    <w:rsid w:val="311B0108"/>
    <w:rsid w:val="31432A42"/>
    <w:rsid w:val="3208EEA3"/>
    <w:rsid w:val="323A4EF9"/>
    <w:rsid w:val="33B80E9C"/>
    <w:rsid w:val="33E6B877"/>
    <w:rsid w:val="340755C6"/>
    <w:rsid w:val="340E4FD9"/>
    <w:rsid w:val="346BCE94"/>
    <w:rsid w:val="34821C7C"/>
    <w:rsid w:val="34B17B6B"/>
    <w:rsid w:val="34BF0684"/>
    <w:rsid w:val="3590DDBC"/>
    <w:rsid w:val="35AAAE99"/>
    <w:rsid w:val="35EA15E2"/>
    <w:rsid w:val="35F90B8A"/>
    <w:rsid w:val="35FD4DAD"/>
    <w:rsid w:val="36246095"/>
    <w:rsid w:val="370C8961"/>
    <w:rsid w:val="38453E58"/>
    <w:rsid w:val="38C6E975"/>
    <w:rsid w:val="3908541E"/>
    <w:rsid w:val="391F0FCA"/>
    <w:rsid w:val="39BEB059"/>
    <w:rsid w:val="39E13ADA"/>
    <w:rsid w:val="39FFA0A1"/>
    <w:rsid w:val="3B4E8397"/>
    <w:rsid w:val="3BA674AC"/>
    <w:rsid w:val="3C280FBC"/>
    <w:rsid w:val="3CBD139E"/>
    <w:rsid w:val="3CE97177"/>
    <w:rsid w:val="3D1E48CF"/>
    <w:rsid w:val="3DC375B0"/>
    <w:rsid w:val="3E535A9E"/>
    <w:rsid w:val="3E773278"/>
    <w:rsid w:val="3E7F2EA5"/>
    <w:rsid w:val="3EB9C02D"/>
    <w:rsid w:val="3FC7AFD7"/>
    <w:rsid w:val="3FFC5F79"/>
    <w:rsid w:val="4086594A"/>
    <w:rsid w:val="409C4DEA"/>
    <w:rsid w:val="40F793F9"/>
    <w:rsid w:val="410FDBCA"/>
    <w:rsid w:val="41AFCF1A"/>
    <w:rsid w:val="41F3DFE0"/>
    <w:rsid w:val="42B85E96"/>
    <w:rsid w:val="42CA59D7"/>
    <w:rsid w:val="43263A60"/>
    <w:rsid w:val="43665EE9"/>
    <w:rsid w:val="4376DA9E"/>
    <w:rsid w:val="43D8B110"/>
    <w:rsid w:val="4461A72C"/>
    <w:rsid w:val="44F88EF0"/>
    <w:rsid w:val="45CE9B00"/>
    <w:rsid w:val="461AC082"/>
    <w:rsid w:val="463BE908"/>
    <w:rsid w:val="47091CFD"/>
    <w:rsid w:val="47666571"/>
    <w:rsid w:val="47B46821"/>
    <w:rsid w:val="47E2597D"/>
    <w:rsid w:val="47E54948"/>
    <w:rsid w:val="486DE9CA"/>
    <w:rsid w:val="48B62DF7"/>
    <w:rsid w:val="48E05970"/>
    <w:rsid w:val="493CF0D8"/>
    <w:rsid w:val="497CB054"/>
    <w:rsid w:val="4A40640D"/>
    <w:rsid w:val="4A857A4C"/>
    <w:rsid w:val="4B8BA674"/>
    <w:rsid w:val="4BBFA166"/>
    <w:rsid w:val="4BDB320A"/>
    <w:rsid w:val="4C21041F"/>
    <w:rsid w:val="4C43A7EC"/>
    <w:rsid w:val="4D1D7549"/>
    <w:rsid w:val="4E6344FF"/>
    <w:rsid w:val="50AD6296"/>
    <w:rsid w:val="51CA04C6"/>
    <w:rsid w:val="51CA4E8C"/>
    <w:rsid w:val="51E012BF"/>
    <w:rsid w:val="51E47C3F"/>
    <w:rsid w:val="520341B4"/>
    <w:rsid w:val="520AA7C5"/>
    <w:rsid w:val="53560664"/>
    <w:rsid w:val="543F924D"/>
    <w:rsid w:val="54F686E2"/>
    <w:rsid w:val="55ADA1F8"/>
    <w:rsid w:val="564A40CC"/>
    <w:rsid w:val="56A77929"/>
    <w:rsid w:val="56CED49A"/>
    <w:rsid w:val="575900E0"/>
    <w:rsid w:val="5779A4E7"/>
    <w:rsid w:val="57D790CA"/>
    <w:rsid w:val="57F9016B"/>
    <w:rsid w:val="583BF739"/>
    <w:rsid w:val="585B6ACD"/>
    <w:rsid w:val="5862BBED"/>
    <w:rsid w:val="587545C7"/>
    <w:rsid w:val="5899A857"/>
    <w:rsid w:val="59986C37"/>
    <w:rsid w:val="59FE03C4"/>
    <w:rsid w:val="5A27C2F3"/>
    <w:rsid w:val="5A3EFEA4"/>
    <w:rsid w:val="5AA487FA"/>
    <w:rsid w:val="5B2AD5EA"/>
    <w:rsid w:val="5B659C31"/>
    <w:rsid w:val="5BD34C28"/>
    <w:rsid w:val="5CEE1182"/>
    <w:rsid w:val="6013F2E1"/>
    <w:rsid w:val="61703E60"/>
    <w:rsid w:val="6194A700"/>
    <w:rsid w:val="623B9839"/>
    <w:rsid w:val="638BC73E"/>
    <w:rsid w:val="63F2CC2B"/>
    <w:rsid w:val="6455EEFE"/>
    <w:rsid w:val="6590C912"/>
    <w:rsid w:val="65CBFBA8"/>
    <w:rsid w:val="661529A0"/>
    <w:rsid w:val="6636AC11"/>
    <w:rsid w:val="665CCB8D"/>
    <w:rsid w:val="66B8A4C5"/>
    <w:rsid w:val="66F898EE"/>
    <w:rsid w:val="67572296"/>
    <w:rsid w:val="67622E7C"/>
    <w:rsid w:val="6786A806"/>
    <w:rsid w:val="6842F716"/>
    <w:rsid w:val="685C1F85"/>
    <w:rsid w:val="6887B44E"/>
    <w:rsid w:val="6951B216"/>
    <w:rsid w:val="69A6343F"/>
    <w:rsid w:val="6A2FEBA7"/>
    <w:rsid w:val="6A46E30C"/>
    <w:rsid w:val="6B9EA7EF"/>
    <w:rsid w:val="6BCC2DEC"/>
    <w:rsid w:val="6BFFF804"/>
    <w:rsid w:val="6C89ACC9"/>
    <w:rsid w:val="6D58CDF9"/>
    <w:rsid w:val="6D635D16"/>
    <w:rsid w:val="6DC5312C"/>
    <w:rsid w:val="6E963A57"/>
    <w:rsid w:val="6EDE8C2A"/>
    <w:rsid w:val="6F400FF3"/>
    <w:rsid w:val="6F6A60FC"/>
    <w:rsid w:val="6F9C37EA"/>
    <w:rsid w:val="70090D4F"/>
    <w:rsid w:val="7077AFB0"/>
    <w:rsid w:val="708B5698"/>
    <w:rsid w:val="70FA51C2"/>
    <w:rsid w:val="7146CCD7"/>
    <w:rsid w:val="71BBAB94"/>
    <w:rsid w:val="722F5BCF"/>
    <w:rsid w:val="72D4A0D7"/>
    <w:rsid w:val="7441CD1B"/>
    <w:rsid w:val="74643DEA"/>
    <w:rsid w:val="75A839B5"/>
    <w:rsid w:val="769EFA90"/>
    <w:rsid w:val="76AD359E"/>
    <w:rsid w:val="76F12F93"/>
    <w:rsid w:val="77B355AA"/>
    <w:rsid w:val="783CA007"/>
    <w:rsid w:val="788F3478"/>
    <w:rsid w:val="79E8870D"/>
    <w:rsid w:val="7A955B26"/>
    <w:rsid w:val="7CD3A839"/>
    <w:rsid w:val="7D200110"/>
    <w:rsid w:val="7D45F799"/>
    <w:rsid w:val="7D974955"/>
    <w:rsid w:val="7DCD1083"/>
    <w:rsid w:val="7E9E62B6"/>
    <w:rsid w:val="7ECD223C"/>
    <w:rsid w:val="7EE29EF2"/>
    <w:rsid w:val="7F696885"/>
    <w:rsid w:val="7FE76C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458CB"/>
  <w15:chartTrackingRefBased/>
  <w15:docId w15:val="{80425108-17B4-43D2-82FD-6F93F0A15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53F"/>
    <w:pPr>
      <w:spacing w:line="256" w:lineRule="auto"/>
    </w:pPr>
  </w:style>
  <w:style w:type="paragraph" w:styleId="Heading1">
    <w:name w:val="heading 1"/>
    <w:aliases w:val="LFR Head 1"/>
    <w:basedOn w:val="Normal"/>
    <w:link w:val="Heading1Char"/>
    <w:uiPriority w:val="9"/>
    <w:qFormat/>
    <w:rsid w:val="00090269"/>
    <w:pPr>
      <w:keepNext/>
      <w:keepLines/>
      <w:numPr>
        <w:numId w:val="4"/>
      </w:numPr>
      <w:spacing w:before="240" w:after="240" w:line="240" w:lineRule="auto"/>
      <w:outlineLvl w:val="0"/>
    </w:pPr>
    <w:rPr>
      <w:rFonts w:eastAsia="Times New Roman" w:cstheme="minorHAnsi"/>
      <w:b/>
      <w:sz w:val="40"/>
    </w:rPr>
  </w:style>
  <w:style w:type="paragraph" w:styleId="Heading2">
    <w:name w:val="heading 2"/>
    <w:basedOn w:val="Normal"/>
    <w:next w:val="Normal"/>
    <w:link w:val="Heading2Char"/>
    <w:uiPriority w:val="9"/>
    <w:unhideWhenUsed/>
    <w:qFormat/>
    <w:rsid w:val="00090269"/>
    <w:pPr>
      <w:keepNext/>
      <w:keepLines/>
      <w:numPr>
        <w:ilvl w:val="1"/>
        <w:numId w:val="4"/>
      </w:numPr>
      <w:spacing w:before="40" w:after="0"/>
      <w:ind w:left="576"/>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LFR Head2"/>
    <w:basedOn w:val="Normal"/>
    <w:next w:val="Heading2"/>
    <w:link w:val="Heading3Char"/>
    <w:uiPriority w:val="9"/>
    <w:unhideWhenUsed/>
    <w:qFormat/>
    <w:rsid w:val="00090269"/>
    <w:pPr>
      <w:keepNext/>
      <w:keepLines/>
      <w:spacing w:before="360" w:after="120" w:line="240" w:lineRule="auto"/>
      <w:ind w:left="567"/>
      <w:outlineLvl w:val="2"/>
    </w:pPr>
    <w:rPr>
      <w:rFonts w:eastAsiaTheme="majorEastAsia" w:cstheme="minorHAnsi"/>
      <w:b/>
      <w:sz w:val="28"/>
      <w:szCs w:val="24"/>
    </w:rPr>
  </w:style>
  <w:style w:type="paragraph" w:styleId="Heading4">
    <w:name w:val="heading 4"/>
    <w:basedOn w:val="Normal"/>
    <w:next w:val="Normal"/>
    <w:link w:val="Heading4Char"/>
    <w:unhideWhenUsed/>
    <w:qFormat/>
    <w:rsid w:val="0091532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FR Head 1 Char"/>
    <w:basedOn w:val="DefaultParagraphFont"/>
    <w:link w:val="Heading1"/>
    <w:uiPriority w:val="9"/>
    <w:rsid w:val="00090269"/>
    <w:rPr>
      <w:rFonts w:eastAsia="Times New Roman" w:cstheme="minorHAnsi"/>
      <w:b/>
      <w:sz w:val="40"/>
    </w:rPr>
  </w:style>
  <w:style w:type="character" w:customStyle="1" w:styleId="Heading3Char">
    <w:name w:val="Heading 3 Char"/>
    <w:aliases w:val="LFR Head2 Char"/>
    <w:basedOn w:val="DefaultParagraphFont"/>
    <w:link w:val="Heading3"/>
    <w:uiPriority w:val="9"/>
    <w:rsid w:val="00090269"/>
    <w:rPr>
      <w:rFonts w:eastAsiaTheme="majorEastAsia" w:cstheme="minorHAnsi"/>
      <w:b/>
      <w:sz w:val="28"/>
      <w:szCs w:val="24"/>
    </w:rPr>
  </w:style>
  <w:style w:type="character" w:customStyle="1" w:styleId="Heading2Char">
    <w:name w:val="Heading 2 Char"/>
    <w:basedOn w:val="DefaultParagraphFont"/>
    <w:link w:val="Heading2"/>
    <w:uiPriority w:val="9"/>
    <w:rsid w:val="00090269"/>
    <w:rPr>
      <w:rFonts w:asciiTheme="majorHAnsi" w:eastAsiaTheme="majorEastAsia" w:hAnsiTheme="majorHAnsi" w:cstheme="majorBidi"/>
      <w:color w:val="2E74B5" w:themeColor="accent1" w:themeShade="BF"/>
      <w:sz w:val="26"/>
      <w:szCs w:val="26"/>
    </w:rPr>
  </w:style>
  <w:style w:type="paragraph" w:customStyle="1" w:styleId="LFRBulletPoints">
    <w:name w:val="LFR Bullet Points"/>
    <w:basedOn w:val="Normal"/>
    <w:link w:val="LFRBulletPointsChar"/>
    <w:qFormat/>
    <w:rsid w:val="00090269"/>
    <w:pPr>
      <w:numPr>
        <w:numId w:val="3"/>
      </w:numPr>
      <w:spacing w:before="120" w:after="120" w:line="276" w:lineRule="auto"/>
    </w:pPr>
    <w:rPr>
      <w:rFonts w:ascii="Calibri" w:eastAsia="MS Mincho" w:hAnsi="Calibri" w:cs="Calibri"/>
      <w:szCs w:val="24"/>
      <w:lang w:eastAsia="ja-JP"/>
    </w:rPr>
  </w:style>
  <w:style w:type="character" w:customStyle="1" w:styleId="LFRBulletPointsChar">
    <w:name w:val="LFR Bullet Points Char"/>
    <w:link w:val="LFRBulletPoints"/>
    <w:rsid w:val="00090269"/>
    <w:rPr>
      <w:rFonts w:ascii="Calibri" w:eastAsia="MS Mincho" w:hAnsi="Calibri" w:cs="Calibri"/>
      <w:szCs w:val="24"/>
      <w:lang w:eastAsia="ja-JP"/>
    </w:rPr>
  </w:style>
  <w:style w:type="paragraph" w:customStyle="1" w:styleId="LFRHeading1">
    <w:name w:val="LFR Heading 1"/>
    <w:basedOn w:val="Heading1"/>
    <w:link w:val="LFRHeading1Char"/>
    <w:qFormat/>
    <w:rsid w:val="00090269"/>
  </w:style>
  <w:style w:type="character" w:customStyle="1" w:styleId="LFRHeading1Char">
    <w:name w:val="LFR Heading 1 Char"/>
    <w:basedOn w:val="Heading1Char"/>
    <w:link w:val="LFRHeading1"/>
    <w:rsid w:val="00090269"/>
    <w:rPr>
      <w:rFonts w:eastAsia="Times New Roman" w:cstheme="minorHAnsi"/>
      <w:b/>
      <w:sz w:val="40"/>
    </w:rPr>
  </w:style>
  <w:style w:type="paragraph" w:customStyle="1" w:styleId="LFRHeading2">
    <w:name w:val="LFR Heading 2"/>
    <w:basedOn w:val="Heading3"/>
    <w:link w:val="LFRHeading2Char"/>
    <w:qFormat/>
    <w:rsid w:val="007D55F5"/>
    <w:pPr>
      <w:ind w:left="0"/>
    </w:pPr>
  </w:style>
  <w:style w:type="character" w:customStyle="1" w:styleId="LFRHeading2Char">
    <w:name w:val="LFR Heading 2 Char"/>
    <w:basedOn w:val="Heading3Char"/>
    <w:link w:val="LFRHeading2"/>
    <w:rsid w:val="007D55F5"/>
    <w:rPr>
      <w:rFonts w:eastAsiaTheme="majorEastAsia" w:cstheme="minorHAnsi"/>
      <w:b/>
      <w:sz w:val="28"/>
      <w:szCs w:val="24"/>
    </w:rPr>
  </w:style>
  <w:style w:type="paragraph" w:customStyle="1" w:styleId="LFRNumberedBodyText">
    <w:name w:val="LFR Numbered Body Text"/>
    <w:basedOn w:val="Heading2"/>
    <w:link w:val="LFRNumberedBodyTextChar"/>
    <w:qFormat/>
    <w:rsid w:val="00090269"/>
    <w:pPr>
      <w:keepNext w:val="0"/>
      <w:keepLines w:val="0"/>
      <w:spacing w:after="240" w:line="240" w:lineRule="auto"/>
      <w:jc w:val="both"/>
    </w:pPr>
    <w:rPr>
      <w:rFonts w:asciiTheme="minorHAnsi" w:hAnsiTheme="minorHAnsi" w:cstheme="minorHAnsi"/>
      <w:color w:val="auto"/>
      <w:sz w:val="22"/>
      <w:szCs w:val="22"/>
    </w:rPr>
  </w:style>
  <w:style w:type="character" w:customStyle="1" w:styleId="LFRNumberedBodyTextChar">
    <w:name w:val="LFR Numbered Body Text Char"/>
    <w:basedOn w:val="DefaultParagraphFont"/>
    <w:link w:val="LFRNumberedBodyText"/>
    <w:rsid w:val="00090269"/>
    <w:rPr>
      <w:rFonts w:eastAsiaTheme="majorEastAsia" w:cstheme="minorHAnsi"/>
    </w:rPr>
  </w:style>
  <w:style w:type="paragraph" w:customStyle="1" w:styleId="LFRText1">
    <w:name w:val="LFR Text 1"/>
    <w:basedOn w:val="LFRNumberedBodyText"/>
    <w:link w:val="LFRText1Char"/>
    <w:qFormat/>
    <w:rsid w:val="00090269"/>
    <w:rPr>
      <w:iCs/>
    </w:rPr>
  </w:style>
  <w:style w:type="character" w:customStyle="1" w:styleId="LFRText1Char">
    <w:name w:val="LFR Text 1 Char"/>
    <w:basedOn w:val="LFRNumberedBodyTextChar"/>
    <w:link w:val="LFRText1"/>
    <w:rsid w:val="00090269"/>
    <w:rPr>
      <w:rFonts w:eastAsiaTheme="majorEastAsia" w:cstheme="minorHAnsi"/>
      <w:iCs/>
    </w:rPr>
  </w:style>
  <w:style w:type="paragraph" w:customStyle="1" w:styleId="LFRText2">
    <w:name w:val="LFR Text 2"/>
    <w:basedOn w:val="NoSpacing"/>
    <w:link w:val="LFRText2Char"/>
    <w:qFormat/>
    <w:rsid w:val="00090269"/>
    <w:pPr>
      <w:spacing w:before="120" w:after="120"/>
    </w:pPr>
    <w:rPr>
      <w:szCs w:val="24"/>
    </w:rPr>
  </w:style>
  <w:style w:type="character" w:customStyle="1" w:styleId="LFRText2Char">
    <w:name w:val="LFR Text 2 Char"/>
    <w:basedOn w:val="DefaultParagraphFont"/>
    <w:link w:val="LFRText2"/>
    <w:rsid w:val="00090269"/>
    <w:rPr>
      <w:szCs w:val="24"/>
    </w:rPr>
  </w:style>
  <w:style w:type="paragraph" w:styleId="NoSpacing">
    <w:name w:val="No Spacing"/>
    <w:uiPriority w:val="1"/>
    <w:qFormat/>
    <w:rsid w:val="00090269"/>
    <w:pPr>
      <w:numPr>
        <w:numId w:val="5"/>
      </w:numPr>
      <w:spacing w:after="0" w:line="240" w:lineRule="auto"/>
    </w:pPr>
  </w:style>
  <w:style w:type="paragraph" w:styleId="Header">
    <w:name w:val="header"/>
    <w:basedOn w:val="Normal"/>
    <w:link w:val="HeaderChar"/>
    <w:uiPriority w:val="99"/>
    <w:unhideWhenUsed/>
    <w:rsid w:val="007D55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55F5"/>
  </w:style>
  <w:style w:type="paragraph" w:styleId="Footer">
    <w:name w:val="footer"/>
    <w:basedOn w:val="Normal"/>
    <w:link w:val="FooterChar"/>
    <w:uiPriority w:val="99"/>
    <w:unhideWhenUsed/>
    <w:rsid w:val="007D55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55F5"/>
  </w:style>
  <w:style w:type="paragraph" w:styleId="Title">
    <w:name w:val="Title"/>
    <w:basedOn w:val="Normal"/>
    <w:next w:val="Normal"/>
    <w:link w:val="TitleChar"/>
    <w:qFormat/>
    <w:rsid w:val="007D55F5"/>
    <w:pPr>
      <w:spacing w:after="0" w:line="240" w:lineRule="auto"/>
      <w:ind w:left="-284" w:right="184"/>
      <w:contextualSpacing/>
      <w:jc w:val="both"/>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7D55F5"/>
    <w:rPr>
      <w:rFonts w:asciiTheme="majorHAnsi" w:eastAsiaTheme="majorEastAsia" w:hAnsiTheme="majorHAnsi" w:cstheme="majorBidi"/>
      <w:spacing w:val="-10"/>
      <w:kern w:val="28"/>
      <w:sz w:val="56"/>
      <w:szCs w:val="56"/>
    </w:rPr>
  </w:style>
  <w:style w:type="character" w:styleId="Hyperlink">
    <w:name w:val="Hyperlink"/>
    <w:uiPriority w:val="99"/>
    <w:unhideWhenUsed/>
    <w:rsid w:val="007D55F5"/>
    <w:rPr>
      <w:color w:val="0000FF"/>
      <w:u w:val="single"/>
    </w:rPr>
  </w:style>
  <w:style w:type="paragraph" w:styleId="CommentText">
    <w:name w:val="annotation text"/>
    <w:basedOn w:val="Normal"/>
    <w:link w:val="CommentTextChar"/>
    <w:unhideWhenUsed/>
    <w:rsid w:val="007D55F5"/>
    <w:pPr>
      <w:spacing w:after="0" w:line="240" w:lineRule="auto"/>
      <w:ind w:left="-284" w:right="184"/>
      <w:jc w:val="both"/>
    </w:pPr>
    <w:rPr>
      <w:rFonts w:ascii="Arial" w:eastAsia="Times New Roman" w:hAnsi="Arial" w:cs="Arial"/>
      <w:sz w:val="20"/>
      <w:szCs w:val="20"/>
    </w:rPr>
  </w:style>
  <w:style w:type="character" w:customStyle="1" w:styleId="CommentTextChar">
    <w:name w:val="Comment Text Char"/>
    <w:basedOn w:val="DefaultParagraphFont"/>
    <w:link w:val="CommentText"/>
    <w:rsid w:val="007D55F5"/>
    <w:rPr>
      <w:rFonts w:ascii="Arial" w:eastAsia="Times New Roman" w:hAnsi="Arial" w:cs="Arial"/>
      <w:sz w:val="20"/>
      <w:szCs w:val="20"/>
    </w:rPr>
  </w:style>
  <w:style w:type="paragraph" w:styleId="Subtitle">
    <w:name w:val="Subtitle"/>
    <w:basedOn w:val="ListParagraph"/>
    <w:next w:val="Normal"/>
    <w:link w:val="SubtitleChar"/>
    <w:qFormat/>
    <w:rsid w:val="007D55F5"/>
    <w:pPr>
      <w:numPr>
        <w:numId w:val="6"/>
      </w:numPr>
      <w:spacing w:after="200" w:line="276" w:lineRule="auto"/>
      <w:ind w:right="1035"/>
      <w:jc w:val="both"/>
    </w:pPr>
    <w:rPr>
      <w:rFonts w:ascii="Arial" w:eastAsia="Times New Roman" w:hAnsi="Arial" w:cs="Arial"/>
      <w:szCs w:val="24"/>
    </w:rPr>
  </w:style>
  <w:style w:type="character" w:customStyle="1" w:styleId="SubtitleChar">
    <w:name w:val="Subtitle Char"/>
    <w:basedOn w:val="DefaultParagraphFont"/>
    <w:link w:val="Subtitle"/>
    <w:rsid w:val="007D55F5"/>
    <w:rPr>
      <w:rFonts w:ascii="Arial" w:eastAsia="Times New Roman" w:hAnsi="Arial" w:cs="Arial"/>
      <w:szCs w:val="24"/>
    </w:rPr>
  </w:style>
  <w:style w:type="paragraph" w:customStyle="1" w:styleId="Default">
    <w:name w:val="Default"/>
    <w:rsid w:val="007D55F5"/>
    <w:pPr>
      <w:autoSpaceDE w:val="0"/>
      <w:autoSpaceDN w:val="0"/>
      <w:adjustRightInd w:val="0"/>
      <w:spacing w:after="0" w:line="240" w:lineRule="auto"/>
    </w:pPr>
    <w:rPr>
      <w:rFonts w:ascii="Verdana" w:hAnsi="Verdana" w:cs="Verdana"/>
      <w:color w:val="000000"/>
      <w:sz w:val="24"/>
      <w:szCs w:val="24"/>
    </w:rPr>
  </w:style>
  <w:style w:type="character" w:customStyle="1" w:styleId="Heading11Char">
    <w:name w:val="Heading 1.1 Char"/>
    <w:link w:val="Heading11"/>
    <w:locked/>
    <w:rsid w:val="007D55F5"/>
    <w:rPr>
      <w:rFonts w:ascii="Arial" w:hAnsi="Arial" w:cs="Arial"/>
      <w:b/>
      <w:bCs/>
      <w:kern w:val="32"/>
      <w:sz w:val="36"/>
      <w:szCs w:val="32"/>
    </w:rPr>
  </w:style>
  <w:style w:type="paragraph" w:customStyle="1" w:styleId="Heading11">
    <w:name w:val="Heading 1.1"/>
    <w:basedOn w:val="Heading1"/>
    <w:link w:val="Heading11Char"/>
    <w:qFormat/>
    <w:rsid w:val="007D55F5"/>
    <w:pPr>
      <w:keepLines w:val="0"/>
      <w:spacing w:after="60"/>
      <w:ind w:left="0" w:right="184" w:firstLine="0"/>
      <w:jc w:val="both"/>
    </w:pPr>
    <w:rPr>
      <w:rFonts w:ascii="Arial" w:eastAsiaTheme="minorHAnsi" w:hAnsi="Arial" w:cs="Arial"/>
      <w:bCs/>
      <w:kern w:val="32"/>
      <w:sz w:val="36"/>
      <w:szCs w:val="32"/>
    </w:rPr>
  </w:style>
  <w:style w:type="character" w:styleId="CommentReference">
    <w:name w:val="annotation reference"/>
    <w:uiPriority w:val="99"/>
    <w:semiHidden/>
    <w:unhideWhenUsed/>
    <w:rsid w:val="007D55F5"/>
    <w:rPr>
      <w:sz w:val="16"/>
      <w:szCs w:val="16"/>
    </w:rPr>
  </w:style>
  <w:style w:type="paragraph" w:styleId="ListParagraph">
    <w:name w:val="List Paragraph"/>
    <w:basedOn w:val="Normal"/>
    <w:link w:val="ListParagraphChar"/>
    <w:uiPriority w:val="34"/>
    <w:qFormat/>
    <w:rsid w:val="007D55F5"/>
    <w:pPr>
      <w:ind w:left="720"/>
      <w:contextualSpacing/>
    </w:pPr>
  </w:style>
  <w:style w:type="paragraph" w:styleId="BalloonText">
    <w:name w:val="Balloon Text"/>
    <w:basedOn w:val="Normal"/>
    <w:link w:val="BalloonTextChar"/>
    <w:uiPriority w:val="99"/>
    <w:semiHidden/>
    <w:unhideWhenUsed/>
    <w:rsid w:val="007D55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55F5"/>
    <w:rPr>
      <w:rFonts w:ascii="Segoe UI" w:hAnsi="Segoe UI" w:cs="Segoe UI"/>
      <w:sz w:val="18"/>
      <w:szCs w:val="18"/>
    </w:rPr>
  </w:style>
  <w:style w:type="character" w:customStyle="1" w:styleId="ListParagraphChar">
    <w:name w:val="List Paragraph Char"/>
    <w:basedOn w:val="DefaultParagraphFont"/>
    <w:link w:val="ListParagraph"/>
    <w:uiPriority w:val="34"/>
    <w:locked/>
    <w:rsid w:val="00C076C4"/>
  </w:style>
  <w:style w:type="table" w:styleId="TableGrid">
    <w:name w:val="Table Grid"/>
    <w:basedOn w:val="TableNormal"/>
    <w:uiPriority w:val="39"/>
    <w:rsid w:val="009153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915321"/>
    <w:rPr>
      <w:rFonts w:asciiTheme="majorHAnsi" w:eastAsiaTheme="majorEastAsia" w:hAnsiTheme="majorHAnsi" w:cstheme="majorBidi"/>
      <w:i/>
      <w:iCs/>
      <w:color w:val="2E74B5" w:themeColor="accent1" w:themeShade="BF"/>
    </w:rPr>
  </w:style>
  <w:style w:type="character" w:customStyle="1" w:styleId="Boxtext2Char">
    <w:name w:val="Box text 2 Char"/>
    <w:basedOn w:val="DefaultParagraphFont"/>
    <w:link w:val="Boxtext2"/>
    <w:locked/>
    <w:rsid w:val="00915321"/>
    <w:rPr>
      <w:rFonts w:ascii="Arial" w:hAnsi="Arial" w:cs="Arial"/>
      <w:color w:val="FFFFFF"/>
      <w:szCs w:val="24"/>
    </w:rPr>
  </w:style>
  <w:style w:type="paragraph" w:customStyle="1" w:styleId="Boxtext2">
    <w:name w:val="Box text 2"/>
    <w:basedOn w:val="Normal"/>
    <w:link w:val="Boxtext2Char"/>
    <w:qFormat/>
    <w:rsid w:val="00915321"/>
    <w:pPr>
      <w:spacing w:before="100" w:beforeAutospacing="1" w:after="100" w:afterAutospacing="1" w:line="240" w:lineRule="auto"/>
      <w:ind w:left="164" w:right="184"/>
      <w:jc w:val="both"/>
    </w:pPr>
    <w:rPr>
      <w:rFonts w:ascii="Arial" w:hAnsi="Arial" w:cs="Arial"/>
      <w:color w:val="FFFFFF"/>
      <w:szCs w:val="24"/>
    </w:rPr>
  </w:style>
  <w:style w:type="character" w:styleId="SubtleReference">
    <w:name w:val="Subtle Reference"/>
    <w:aliases w:val="Box text"/>
    <w:uiPriority w:val="31"/>
    <w:qFormat/>
    <w:rsid w:val="00915321"/>
    <w:rPr>
      <w:rFonts w:ascii="Arial" w:hAnsi="Arial" w:cs="Arial" w:hint="default"/>
      <w:b/>
      <w:bCs w:val="0"/>
      <w:color w:val="FFFFFF" w:themeColor="background1"/>
    </w:rPr>
  </w:style>
  <w:style w:type="character" w:customStyle="1" w:styleId="legdslegrhslegp1text">
    <w:name w:val="legds legrhs legp1text"/>
    <w:basedOn w:val="DefaultParagraphFont"/>
    <w:rsid w:val="00915321"/>
  </w:style>
  <w:style w:type="character" w:customStyle="1" w:styleId="Boxtext3Char">
    <w:name w:val="Box text 3 Char"/>
    <w:basedOn w:val="DefaultParagraphFont"/>
    <w:link w:val="Boxtext3"/>
    <w:locked/>
    <w:rsid w:val="00915321"/>
    <w:rPr>
      <w:rFonts w:ascii="Arial" w:hAnsi="Arial" w:cs="Arial"/>
      <w:szCs w:val="24"/>
    </w:rPr>
  </w:style>
  <w:style w:type="paragraph" w:customStyle="1" w:styleId="Boxtext3">
    <w:name w:val="Box text 3"/>
    <w:basedOn w:val="Normal"/>
    <w:link w:val="Boxtext3Char"/>
    <w:qFormat/>
    <w:rsid w:val="00915321"/>
    <w:pPr>
      <w:spacing w:after="0" w:line="240" w:lineRule="auto"/>
      <w:ind w:left="164" w:right="184"/>
      <w:jc w:val="both"/>
    </w:pPr>
    <w:rPr>
      <w:rFonts w:ascii="Arial" w:hAnsi="Arial" w:cs="Arial"/>
      <w:szCs w:val="24"/>
    </w:rPr>
  </w:style>
  <w:style w:type="character" w:customStyle="1" w:styleId="StyleUnderline">
    <w:name w:val="Style Underline"/>
    <w:rsid w:val="00645032"/>
    <w:rPr>
      <w:u w:val="single"/>
    </w:rPr>
  </w:style>
  <w:style w:type="character" w:customStyle="1" w:styleId="legds2">
    <w:name w:val="legds2"/>
    <w:rsid w:val="00730C7A"/>
    <w:rPr>
      <w:vanish/>
      <w:webHidden w:val="0"/>
      <w:specVanish/>
    </w:rPr>
  </w:style>
  <w:style w:type="paragraph" w:styleId="NormalWeb">
    <w:name w:val="Normal (Web)"/>
    <w:basedOn w:val="Normal"/>
    <w:uiPriority w:val="99"/>
    <w:semiHidden/>
    <w:unhideWhenUsed/>
    <w:rsid w:val="00F938C0"/>
    <w:pPr>
      <w:autoSpaceDE w:val="0"/>
      <w:autoSpaceDN w:val="0"/>
      <w:adjustRightInd w:val="0"/>
      <w:spacing w:before="75" w:after="150" w:line="270" w:lineRule="atLeast"/>
      <w:ind w:left="675" w:right="675"/>
      <w:jc w:val="both"/>
    </w:pPr>
    <w:rPr>
      <w:rFonts w:ascii="Arial" w:eastAsia="Times New Roman" w:hAnsi="Arial" w:cs="Verdana"/>
      <w:szCs w:val="24"/>
    </w:rPr>
  </w:style>
  <w:style w:type="paragraph" w:styleId="BodyText">
    <w:name w:val="Body Text"/>
    <w:basedOn w:val="Normal"/>
    <w:link w:val="BodyTextChar"/>
    <w:unhideWhenUsed/>
    <w:rsid w:val="00F938C0"/>
    <w:pPr>
      <w:autoSpaceDE w:val="0"/>
      <w:autoSpaceDN w:val="0"/>
      <w:adjustRightInd w:val="0"/>
      <w:spacing w:after="120" w:line="285" w:lineRule="auto"/>
      <w:ind w:left="-284" w:right="184"/>
      <w:jc w:val="both"/>
    </w:pPr>
    <w:rPr>
      <w:rFonts w:ascii="Arial" w:eastAsia="Times New Roman" w:hAnsi="Arial" w:cs="Arial"/>
      <w:szCs w:val="24"/>
    </w:rPr>
  </w:style>
  <w:style w:type="character" w:customStyle="1" w:styleId="BodyTextChar">
    <w:name w:val="Body Text Char"/>
    <w:basedOn w:val="DefaultParagraphFont"/>
    <w:link w:val="BodyText"/>
    <w:rsid w:val="00F938C0"/>
    <w:rPr>
      <w:rFonts w:ascii="Arial" w:eastAsia="Times New Roman" w:hAnsi="Arial" w:cs="Arial"/>
      <w:szCs w:val="24"/>
    </w:rPr>
  </w:style>
  <w:style w:type="paragraph" w:styleId="TOC1">
    <w:name w:val="toc 1"/>
    <w:basedOn w:val="Normal"/>
    <w:next w:val="Normal"/>
    <w:autoRedefine/>
    <w:uiPriority w:val="39"/>
    <w:unhideWhenUsed/>
    <w:rsid w:val="008C3C56"/>
    <w:pPr>
      <w:spacing w:before="120" w:after="0"/>
    </w:pPr>
    <w:rPr>
      <w:rFonts w:cstheme="minorHAnsi"/>
      <w:b/>
      <w:bCs/>
      <w:i/>
      <w:iCs/>
      <w:sz w:val="24"/>
      <w:szCs w:val="24"/>
    </w:rPr>
  </w:style>
  <w:style w:type="paragraph" w:styleId="TOC2">
    <w:name w:val="toc 2"/>
    <w:basedOn w:val="Normal"/>
    <w:next w:val="Normal"/>
    <w:autoRedefine/>
    <w:uiPriority w:val="39"/>
    <w:unhideWhenUsed/>
    <w:rsid w:val="008C3C56"/>
    <w:pPr>
      <w:spacing w:before="120" w:after="0"/>
      <w:ind w:left="220"/>
    </w:pPr>
    <w:rPr>
      <w:rFonts w:cstheme="minorHAnsi"/>
      <w:b/>
      <w:bCs/>
    </w:rPr>
  </w:style>
  <w:style w:type="paragraph" w:styleId="TOC3">
    <w:name w:val="toc 3"/>
    <w:basedOn w:val="Normal"/>
    <w:next w:val="Normal"/>
    <w:autoRedefine/>
    <w:uiPriority w:val="39"/>
    <w:unhideWhenUsed/>
    <w:rsid w:val="008C3C56"/>
    <w:pPr>
      <w:spacing w:after="0"/>
      <w:ind w:left="440"/>
    </w:pPr>
    <w:rPr>
      <w:rFonts w:cstheme="minorHAnsi"/>
      <w:sz w:val="20"/>
      <w:szCs w:val="20"/>
    </w:rPr>
  </w:style>
  <w:style w:type="paragraph" w:styleId="TOC4">
    <w:name w:val="toc 4"/>
    <w:basedOn w:val="Normal"/>
    <w:next w:val="Normal"/>
    <w:autoRedefine/>
    <w:uiPriority w:val="39"/>
    <w:unhideWhenUsed/>
    <w:rsid w:val="008C3C56"/>
    <w:pPr>
      <w:spacing w:after="0"/>
      <w:ind w:left="660"/>
    </w:pPr>
    <w:rPr>
      <w:rFonts w:cstheme="minorHAnsi"/>
      <w:sz w:val="20"/>
      <w:szCs w:val="20"/>
    </w:rPr>
  </w:style>
  <w:style w:type="paragraph" w:styleId="TOC5">
    <w:name w:val="toc 5"/>
    <w:basedOn w:val="Normal"/>
    <w:next w:val="Normal"/>
    <w:autoRedefine/>
    <w:uiPriority w:val="39"/>
    <w:unhideWhenUsed/>
    <w:rsid w:val="008C3C56"/>
    <w:pPr>
      <w:spacing w:after="0"/>
      <w:ind w:left="880"/>
    </w:pPr>
    <w:rPr>
      <w:rFonts w:cstheme="minorHAnsi"/>
      <w:sz w:val="20"/>
      <w:szCs w:val="20"/>
    </w:rPr>
  </w:style>
  <w:style w:type="paragraph" w:styleId="TOC6">
    <w:name w:val="toc 6"/>
    <w:basedOn w:val="Normal"/>
    <w:next w:val="Normal"/>
    <w:autoRedefine/>
    <w:uiPriority w:val="39"/>
    <w:unhideWhenUsed/>
    <w:rsid w:val="008C3C56"/>
    <w:pPr>
      <w:spacing w:after="0"/>
      <w:ind w:left="1100"/>
    </w:pPr>
    <w:rPr>
      <w:rFonts w:cstheme="minorHAnsi"/>
      <w:sz w:val="20"/>
      <w:szCs w:val="20"/>
    </w:rPr>
  </w:style>
  <w:style w:type="paragraph" w:styleId="TOC7">
    <w:name w:val="toc 7"/>
    <w:basedOn w:val="Normal"/>
    <w:next w:val="Normal"/>
    <w:autoRedefine/>
    <w:uiPriority w:val="39"/>
    <w:unhideWhenUsed/>
    <w:rsid w:val="008C3C56"/>
    <w:pPr>
      <w:spacing w:after="0"/>
      <w:ind w:left="1320"/>
    </w:pPr>
    <w:rPr>
      <w:rFonts w:cstheme="minorHAnsi"/>
      <w:sz w:val="20"/>
      <w:szCs w:val="20"/>
    </w:rPr>
  </w:style>
  <w:style w:type="paragraph" w:styleId="TOC8">
    <w:name w:val="toc 8"/>
    <w:basedOn w:val="Normal"/>
    <w:next w:val="Normal"/>
    <w:autoRedefine/>
    <w:uiPriority w:val="39"/>
    <w:unhideWhenUsed/>
    <w:rsid w:val="008C3C56"/>
    <w:pPr>
      <w:spacing w:after="0"/>
      <w:ind w:left="1540"/>
    </w:pPr>
    <w:rPr>
      <w:rFonts w:cstheme="minorHAnsi"/>
      <w:sz w:val="20"/>
      <w:szCs w:val="20"/>
    </w:rPr>
  </w:style>
  <w:style w:type="paragraph" w:styleId="TOC9">
    <w:name w:val="toc 9"/>
    <w:basedOn w:val="Normal"/>
    <w:next w:val="Normal"/>
    <w:autoRedefine/>
    <w:uiPriority w:val="39"/>
    <w:unhideWhenUsed/>
    <w:rsid w:val="008C3C56"/>
    <w:pPr>
      <w:spacing w:after="0"/>
      <w:ind w:left="1760"/>
    </w:pPr>
    <w:rPr>
      <w:rFonts w:cstheme="minorHAnsi"/>
      <w:sz w:val="20"/>
      <w:szCs w:val="20"/>
    </w:rPr>
  </w:style>
  <w:style w:type="character" w:styleId="Strong">
    <w:name w:val="Strong"/>
    <w:basedOn w:val="DefaultParagraphFont"/>
    <w:uiPriority w:val="22"/>
    <w:qFormat/>
    <w:rsid w:val="00D3735D"/>
    <w:rPr>
      <w:b/>
      <w:bCs/>
    </w:rPr>
  </w:style>
  <w:style w:type="paragraph" w:styleId="CommentSubject">
    <w:name w:val="annotation subject"/>
    <w:basedOn w:val="CommentText"/>
    <w:next w:val="CommentText"/>
    <w:link w:val="CommentSubjectChar"/>
    <w:uiPriority w:val="99"/>
    <w:semiHidden/>
    <w:unhideWhenUsed/>
    <w:rsid w:val="008A1676"/>
    <w:pPr>
      <w:spacing w:after="160"/>
      <w:ind w:left="0" w:right="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8A1676"/>
    <w:rPr>
      <w:rFonts w:ascii="Arial" w:eastAsia="Times New Roman" w:hAnsi="Arial" w:cs="Arial"/>
      <w:b/>
      <w:bCs/>
      <w:sz w:val="20"/>
      <w:szCs w:val="20"/>
    </w:rPr>
  </w:style>
  <w:style w:type="paragraph" w:styleId="FootnoteText">
    <w:name w:val="footnote text"/>
    <w:basedOn w:val="Normal"/>
    <w:link w:val="FootnoteTextChar"/>
    <w:uiPriority w:val="99"/>
    <w:unhideWhenUsed/>
    <w:rsid w:val="009959BC"/>
    <w:pPr>
      <w:spacing w:after="0" w:line="240" w:lineRule="auto"/>
    </w:pPr>
    <w:rPr>
      <w:sz w:val="20"/>
      <w:szCs w:val="20"/>
    </w:rPr>
  </w:style>
  <w:style w:type="character" w:customStyle="1" w:styleId="FootnoteTextChar">
    <w:name w:val="Footnote Text Char"/>
    <w:basedOn w:val="DefaultParagraphFont"/>
    <w:link w:val="FootnoteText"/>
    <w:uiPriority w:val="99"/>
    <w:rsid w:val="009959BC"/>
    <w:rPr>
      <w:sz w:val="20"/>
      <w:szCs w:val="20"/>
    </w:rPr>
  </w:style>
  <w:style w:type="character" w:styleId="FootnoteReference">
    <w:name w:val="footnote reference"/>
    <w:basedOn w:val="DefaultParagraphFont"/>
    <w:uiPriority w:val="99"/>
    <w:semiHidden/>
    <w:unhideWhenUsed/>
    <w:rsid w:val="009959BC"/>
    <w:rPr>
      <w:vertAlign w:val="superscript"/>
    </w:rPr>
  </w:style>
  <w:style w:type="table" w:customStyle="1" w:styleId="TableGrid1">
    <w:name w:val="Table Grid1"/>
    <w:basedOn w:val="TableNormal"/>
    <w:next w:val="TableGrid"/>
    <w:uiPriority w:val="59"/>
    <w:rsid w:val="00A659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F1E26"/>
    <w:rPr>
      <w:color w:val="605E5C"/>
      <w:shd w:val="clear" w:color="auto" w:fill="E1DFDD"/>
    </w:rPr>
  </w:style>
  <w:style w:type="paragraph" w:styleId="Revision">
    <w:name w:val="Revision"/>
    <w:hidden/>
    <w:uiPriority w:val="99"/>
    <w:semiHidden/>
    <w:rsid w:val="0051498B"/>
    <w:pPr>
      <w:spacing w:after="0" w:line="240" w:lineRule="auto"/>
    </w:pPr>
  </w:style>
  <w:style w:type="paragraph" w:customStyle="1" w:styleId="Romannumerallist">
    <w:name w:val="Roman numeral list"/>
    <w:rsid w:val="00B86144"/>
    <w:pPr>
      <w:numPr>
        <w:numId w:val="35"/>
      </w:numPr>
      <w:spacing w:before="80" w:after="80" w:line="360" w:lineRule="auto"/>
    </w:pPr>
    <w:rPr>
      <w:rFonts w:ascii="Arial" w:eastAsia="Times New Roman" w:hAnsi="Arial" w:cs="Times New Roman"/>
      <w:color w:val="1C1C1C"/>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054">
      <w:bodyDiv w:val="1"/>
      <w:marLeft w:val="0"/>
      <w:marRight w:val="0"/>
      <w:marTop w:val="0"/>
      <w:marBottom w:val="0"/>
      <w:divBdr>
        <w:top w:val="none" w:sz="0" w:space="0" w:color="auto"/>
        <w:left w:val="none" w:sz="0" w:space="0" w:color="auto"/>
        <w:bottom w:val="none" w:sz="0" w:space="0" w:color="auto"/>
        <w:right w:val="none" w:sz="0" w:space="0" w:color="auto"/>
      </w:divBdr>
    </w:div>
    <w:div w:id="14775284">
      <w:bodyDiv w:val="1"/>
      <w:marLeft w:val="0"/>
      <w:marRight w:val="0"/>
      <w:marTop w:val="0"/>
      <w:marBottom w:val="0"/>
      <w:divBdr>
        <w:top w:val="none" w:sz="0" w:space="0" w:color="auto"/>
        <w:left w:val="none" w:sz="0" w:space="0" w:color="auto"/>
        <w:bottom w:val="none" w:sz="0" w:space="0" w:color="auto"/>
        <w:right w:val="none" w:sz="0" w:space="0" w:color="auto"/>
      </w:divBdr>
      <w:divsChild>
        <w:div w:id="1333990651">
          <w:marLeft w:val="0"/>
          <w:marRight w:val="0"/>
          <w:marTop w:val="0"/>
          <w:marBottom w:val="0"/>
          <w:divBdr>
            <w:top w:val="none" w:sz="0" w:space="0" w:color="auto"/>
            <w:left w:val="none" w:sz="0" w:space="0" w:color="auto"/>
            <w:bottom w:val="none" w:sz="0" w:space="0" w:color="auto"/>
            <w:right w:val="none" w:sz="0" w:space="0" w:color="auto"/>
          </w:divBdr>
          <w:divsChild>
            <w:div w:id="124199550">
              <w:marLeft w:val="0"/>
              <w:marRight w:val="0"/>
              <w:marTop w:val="0"/>
              <w:marBottom w:val="0"/>
              <w:divBdr>
                <w:top w:val="none" w:sz="0" w:space="0" w:color="auto"/>
                <w:left w:val="none" w:sz="0" w:space="0" w:color="auto"/>
                <w:bottom w:val="none" w:sz="0" w:space="0" w:color="auto"/>
                <w:right w:val="none" w:sz="0" w:space="0" w:color="auto"/>
              </w:divBdr>
              <w:divsChild>
                <w:div w:id="1181775110">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8243275">
      <w:bodyDiv w:val="1"/>
      <w:marLeft w:val="0"/>
      <w:marRight w:val="0"/>
      <w:marTop w:val="0"/>
      <w:marBottom w:val="0"/>
      <w:divBdr>
        <w:top w:val="none" w:sz="0" w:space="0" w:color="auto"/>
        <w:left w:val="none" w:sz="0" w:space="0" w:color="auto"/>
        <w:bottom w:val="none" w:sz="0" w:space="0" w:color="auto"/>
        <w:right w:val="none" w:sz="0" w:space="0" w:color="auto"/>
      </w:divBdr>
    </w:div>
    <w:div w:id="64645856">
      <w:bodyDiv w:val="1"/>
      <w:marLeft w:val="0"/>
      <w:marRight w:val="0"/>
      <w:marTop w:val="0"/>
      <w:marBottom w:val="0"/>
      <w:divBdr>
        <w:top w:val="none" w:sz="0" w:space="0" w:color="auto"/>
        <w:left w:val="none" w:sz="0" w:space="0" w:color="auto"/>
        <w:bottom w:val="none" w:sz="0" w:space="0" w:color="auto"/>
        <w:right w:val="none" w:sz="0" w:space="0" w:color="auto"/>
      </w:divBdr>
    </w:div>
    <w:div w:id="73169099">
      <w:bodyDiv w:val="1"/>
      <w:marLeft w:val="0"/>
      <w:marRight w:val="0"/>
      <w:marTop w:val="0"/>
      <w:marBottom w:val="0"/>
      <w:divBdr>
        <w:top w:val="none" w:sz="0" w:space="0" w:color="auto"/>
        <w:left w:val="none" w:sz="0" w:space="0" w:color="auto"/>
        <w:bottom w:val="none" w:sz="0" w:space="0" w:color="auto"/>
        <w:right w:val="none" w:sz="0" w:space="0" w:color="auto"/>
      </w:divBdr>
    </w:div>
    <w:div w:id="104006820">
      <w:bodyDiv w:val="1"/>
      <w:marLeft w:val="0"/>
      <w:marRight w:val="0"/>
      <w:marTop w:val="0"/>
      <w:marBottom w:val="0"/>
      <w:divBdr>
        <w:top w:val="none" w:sz="0" w:space="0" w:color="auto"/>
        <w:left w:val="none" w:sz="0" w:space="0" w:color="auto"/>
        <w:bottom w:val="none" w:sz="0" w:space="0" w:color="auto"/>
        <w:right w:val="none" w:sz="0" w:space="0" w:color="auto"/>
      </w:divBdr>
    </w:div>
    <w:div w:id="152793205">
      <w:bodyDiv w:val="1"/>
      <w:marLeft w:val="0"/>
      <w:marRight w:val="0"/>
      <w:marTop w:val="0"/>
      <w:marBottom w:val="0"/>
      <w:divBdr>
        <w:top w:val="none" w:sz="0" w:space="0" w:color="auto"/>
        <w:left w:val="none" w:sz="0" w:space="0" w:color="auto"/>
        <w:bottom w:val="none" w:sz="0" w:space="0" w:color="auto"/>
        <w:right w:val="none" w:sz="0" w:space="0" w:color="auto"/>
      </w:divBdr>
    </w:div>
    <w:div w:id="174619667">
      <w:bodyDiv w:val="1"/>
      <w:marLeft w:val="0"/>
      <w:marRight w:val="0"/>
      <w:marTop w:val="0"/>
      <w:marBottom w:val="0"/>
      <w:divBdr>
        <w:top w:val="none" w:sz="0" w:space="0" w:color="auto"/>
        <w:left w:val="none" w:sz="0" w:space="0" w:color="auto"/>
        <w:bottom w:val="none" w:sz="0" w:space="0" w:color="auto"/>
        <w:right w:val="none" w:sz="0" w:space="0" w:color="auto"/>
      </w:divBdr>
    </w:div>
    <w:div w:id="195849914">
      <w:bodyDiv w:val="1"/>
      <w:marLeft w:val="0"/>
      <w:marRight w:val="0"/>
      <w:marTop w:val="0"/>
      <w:marBottom w:val="0"/>
      <w:divBdr>
        <w:top w:val="none" w:sz="0" w:space="0" w:color="auto"/>
        <w:left w:val="none" w:sz="0" w:space="0" w:color="auto"/>
        <w:bottom w:val="none" w:sz="0" w:space="0" w:color="auto"/>
        <w:right w:val="none" w:sz="0" w:space="0" w:color="auto"/>
      </w:divBdr>
    </w:div>
    <w:div w:id="196620816">
      <w:bodyDiv w:val="1"/>
      <w:marLeft w:val="0"/>
      <w:marRight w:val="0"/>
      <w:marTop w:val="0"/>
      <w:marBottom w:val="0"/>
      <w:divBdr>
        <w:top w:val="none" w:sz="0" w:space="0" w:color="auto"/>
        <w:left w:val="none" w:sz="0" w:space="0" w:color="auto"/>
        <w:bottom w:val="none" w:sz="0" w:space="0" w:color="auto"/>
        <w:right w:val="none" w:sz="0" w:space="0" w:color="auto"/>
      </w:divBdr>
    </w:div>
    <w:div w:id="223151600">
      <w:bodyDiv w:val="1"/>
      <w:marLeft w:val="0"/>
      <w:marRight w:val="0"/>
      <w:marTop w:val="0"/>
      <w:marBottom w:val="0"/>
      <w:divBdr>
        <w:top w:val="none" w:sz="0" w:space="0" w:color="auto"/>
        <w:left w:val="none" w:sz="0" w:space="0" w:color="auto"/>
        <w:bottom w:val="none" w:sz="0" w:space="0" w:color="auto"/>
        <w:right w:val="none" w:sz="0" w:space="0" w:color="auto"/>
      </w:divBdr>
    </w:div>
    <w:div w:id="226959221">
      <w:bodyDiv w:val="1"/>
      <w:marLeft w:val="0"/>
      <w:marRight w:val="0"/>
      <w:marTop w:val="0"/>
      <w:marBottom w:val="0"/>
      <w:divBdr>
        <w:top w:val="none" w:sz="0" w:space="0" w:color="auto"/>
        <w:left w:val="none" w:sz="0" w:space="0" w:color="auto"/>
        <w:bottom w:val="none" w:sz="0" w:space="0" w:color="auto"/>
        <w:right w:val="none" w:sz="0" w:space="0" w:color="auto"/>
      </w:divBdr>
    </w:div>
    <w:div w:id="247228886">
      <w:bodyDiv w:val="1"/>
      <w:marLeft w:val="0"/>
      <w:marRight w:val="0"/>
      <w:marTop w:val="0"/>
      <w:marBottom w:val="0"/>
      <w:divBdr>
        <w:top w:val="none" w:sz="0" w:space="0" w:color="auto"/>
        <w:left w:val="none" w:sz="0" w:space="0" w:color="auto"/>
        <w:bottom w:val="none" w:sz="0" w:space="0" w:color="auto"/>
        <w:right w:val="none" w:sz="0" w:space="0" w:color="auto"/>
      </w:divBdr>
    </w:div>
    <w:div w:id="253633229">
      <w:bodyDiv w:val="1"/>
      <w:marLeft w:val="0"/>
      <w:marRight w:val="0"/>
      <w:marTop w:val="0"/>
      <w:marBottom w:val="0"/>
      <w:divBdr>
        <w:top w:val="none" w:sz="0" w:space="0" w:color="auto"/>
        <w:left w:val="none" w:sz="0" w:space="0" w:color="auto"/>
        <w:bottom w:val="none" w:sz="0" w:space="0" w:color="auto"/>
        <w:right w:val="none" w:sz="0" w:space="0" w:color="auto"/>
      </w:divBdr>
      <w:divsChild>
        <w:div w:id="548496535">
          <w:marLeft w:val="0"/>
          <w:marRight w:val="0"/>
          <w:marTop w:val="0"/>
          <w:marBottom w:val="0"/>
          <w:divBdr>
            <w:top w:val="none" w:sz="0" w:space="0" w:color="auto"/>
            <w:left w:val="none" w:sz="0" w:space="0" w:color="auto"/>
            <w:bottom w:val="none" w:sz="0" w:space="0" w:color="auto"/>
            <w:right w:val="none" w:sz="0" w:space="0" w:color="auto"/>
          </w:divBdr>
          <w:divsChild>
            <w:div w:id="1815296879">
              <w:marLeft w:val="0"/>
              <w:marRight w:val="0"/>
              <w:marTop w:val="0"/>
              <w:marBottom w:val="0"/>
              <w:divBdr>
                <w:top w:val="none" w:sz="0" w:space="0" w:color="auto"/>
                <w:left w:val="none" w:sz="0" w:space="0" w:color="auto"/>
                <w:bottom w:val="none" w:sz="0" w:space="0" w:color="auto"/>
                <w:right w:val="none" w:sz="0" w:space="0" w:color="auto"/>
              </w:divBdr>
              <w:divsChild>
                <w:div w:id="95564363">
                  <w:marLeft w:val="0"/>
                  <w:marRight w:val="0"/>
                  <w:marTop w:val="0"/>
                  <w:marBottom w:val="0"/>
                  <w:divBdr>
                    <w:top w:val="none" w:sz="0" w:space="0" w:color="auto"/>
                    <w:left w:val="none" w:sz="0" w:space="0" w:color="auto"/>
                    <w:bottom w:val="none" w:sz="0" w:space="0" w:color="auto"/>
                    <w:right w:val="none" w:sz="0" w:space="0" w:color="auto"/>
                  </w:divBdr>
                  <w:divsChild>
                    <w:div w:id="61112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037227">
      <w:bodyDiv w:val="1"/>
      <w:marLeft w:val="0"/>
      <w:marRight w:val="0"/>
      <w:marTop w:val="0"/>
      <w:marBottom w:val="0"/>
      <w:divBdr>
        <w:top w:val="none" w:sz="0" w:space="0" w:color="auto"/>
        <w:left w:val="none" w:sz="0" w:space="0" w:color="auto"/>
        <w:bottom w:val="none" w:sz="0" w:space="0" w:color="auto"/>
        <w:right w:val="none" w:sz="0" w:space="0" w:color="auto"/>
      </w:divBdr>
    </w:div>
    <w:div w:id="263615215">
      <w:bodyDiv w:val="1"/>
      <w:marLeft w:val="0"/>
      <w:marRight w:val="0"/>
      <w:marTop w:val="0"/>
      <w:marBottom w:val="0"/>
      <w:divBdr>
        <w:top w:val="none" w:sz="0" w:space="0" w:color="auto"/>
        <w:left w:val="none" w:sz="0" w:space="0" w:color="auto"/>
        <w:bottom w:val="none" w:sz="0" w:space="0" w:color="auto"/>
        <w:right w:val="none" w:sz="0" w:space="0" w:color="auto"/>
      </w:divBdr>
    </w:div>
    <w:div w:id="278494338">
      <w:bodyDiv w:val="1"/>
      <w:marLeft w:val="0"/>
      <w:marRight w:val="0"/>
      <w:marTop w:val="0"/>
      <w:marBottom w:val="0"/>
      <w:divBdr>
        <w:top w:val="none" w:sz="0" w:space="0" w:color="auto"/>
        <w:left w:val="none" w:sz="0" w:space="0" w:color="auto"/>
        <w:bottom w:val="none" w:sz="0" w:space="0" w:color="auto"/>
        <w:right w:val="none" w:sz="0" w:space="0" w:color="auto"/>
      </w:divBdr>
    </w:div>
    <w:div w:id="280848204">
      <w:bodyDiv w:val="1"/>
      <w:marLeft w:val="0"/>
      <w:marRight w:val="0"/>
      <w:marTop w:val="0"/>
      <w:marBottom w:val="0"/>
      <w:divBdr>
        <w:top w:val="none" w:sz="0" w:space="0" w:color="auto"/>
        <w:left w:val="none" w:sz="0" w:space="0" w:color="auto"/>
        <w:bottom w:val="none" w:sz="0" w:space="0" w:color="auto"/>
        <w:right w:val="none" w:sz="0" w:space="0" w:color="auto"/>
      </w:divBdr>
    </w:div>
    <w:div w:id="294875666">
      <w:bodyDiv w:val="1"/>
      <w:marLeft w:val="0"/>
      <w:marRight w:val="0"/>
      <w:marTop w:val="0"/>
      <w:marBottom w:val="0"/>
      <w:divBdr>
        <w:top w:val="none" w:sz="0" w:space="0" w:color="auto"/>
        <w:left w:val="none" w:sz="0" w:space="0" w:color="auto"/>
        <w:bottom w:val="none" w:sz="0" w:space="0" w:color="auto"/>
        <w:right w:val="none" w:sz="0" w:space="0" w:color="auto"/>
      </w:divBdr>
    </w:div>
    <w:div w:id="297303482">
      <w:bodyDiv w:val="1"/>
      <w:marLeft w:val="0"/>
      <w:marRight w:val="0"/>
      <w:marTop w:val="0"/>
      <w:marBottom w:val="0"/>
      <w:divBdr>
        <w:top w:val="none" w:sz="0" w:space="0" w:color="auto"/>
        <w:left w:val="none" w:sz="0" w:space="0" w:color="auto"/>
        <w:bottom w:val="none" w:sz="0" w:space="0" w:color="auto"/>
        <w:right w:val="none" w:sz="0" w:space="0" w:color="auto"/>
      </w:divBdr>
    </w:div>
    <w:div w:id="315308985">
      <w:bodyDiv w:val="1"/>
      <w:marLeft w:val="0"/>
      <w:marRight w:val="0"/>
      <w:marTop w:val="0"/>
      <w:marBottom w:val="0"/>
      <w:divBdr>
        <w:top w:val="none" w:sz="0" w:space="0" w:color="auto"/>
        <w:left w:val="none" w:sz="0" w:space="0" w:color="auto"/>
        <w:bottom w:val="none" w:sz="0" w:space="0" w:color="auto"/>
        <w:right w:val="none" w:sz="0" w:space="0" w:color="auto"/>
      </w:divBdr>
    </w:div>
    <w:div w:id="333530845">
      <w:bodyDiv w:val="1"/>
      <w:marLeft w:val="0"/>
      <w:marRight w:val="0"/>
      <w:marTop w:val="0"/>
      <w:marBottom w:val="0"/>
      <w:divBdr>
        <w:top w:val="none" w:sz="0" w:space="0" w:color="auto"/>
        <w:left w:val="none" w:sz="0" w:space="0" w:color="auto"/>
        <w:bottom w:val="none" w:sz="0" w:space="0" w:color="auto"/>
        <w:right w:val="none" w:sz="0" w:space="0" w:color="auto"/>
      </w:divBdr>
    </w:div>
    <w:div w:id="366219672">
      <w:bodyDiv w:val="1"/>
      <w:marLeft w:val="0"/>
      <w:marRight w:val="0"/>
      <w:marTop w:val="0"/>
      <w:marBottom w:val="0"/>
      <w:divBdr>
        <w:top w:val="none" w:sz="0" w:space="0" w:color="auto"/>
        <w:left w:val="none" w:sz="0" w:space="0" w:color="auto"/>
        <w:bottom w:val="none" w:sz="0" w:space="0" w:color="auto"/>
        <w:right w:val="none" w:sz="0" w:space="0" w:color="auto"/>
      </w:divBdr>
    </w:div>
    <w:div w:id="421606471">
      <w:bodyDiv w:val="1"/>
      <w:marLeft w:val="0"/>
      <w:marRight w:val="0"/>
      <w:marTop w:val="0"/>
      <w:marBottom w:val="0"/>
      <w:divBdr>
        <w:top w:val="none" w:sz="0" w:space="0" w:color="auto"/>
        <w:left w:val="none" w:sz="0" w:space="0" w:color="auto"/>
        <w:bottom w:val="none" w:sz="0" w:space="0" w:color="auto"/>
        <w:right w:val="none" w:sz="0" w:space="0" w:color="auto"/>
      </w:divBdr>
    </w:div>
    <w:div w:id="425273272">
      <w:bodyDiv w:val="1"/>
      <w:marLeft w:val="0"/>
      <w:marRight w:val="0"/>
      <w:marTop w:val="0"/>
      <w:marBottom w:val="0"/>
      <w:divBdr>
        <w:top w:val="none" w:sz="0" w:space="0" w:color="auto"/>
        <w:left w:val="none" w:sz="0" w:space="0" w:color="auto"/>
        <w:bottom w:val="none" w:sz="0" w:space="0" w:color="auto"/>
        <w:right w:val="none" w:sz="0" w:space="0" w:color="auto"/>
      </w:divBdr>
      <w:divsChild>
        <w:div w:id="339702282">
          <w:marLeft w:val="0"/>
          <w:marRight w:val="0"/>
          <w:marTop w:val="0"/>
          <w:marBottom w:val="0"/>
          <w:divBdr>
            <w:top w:val="none" w:sz="0" w:space="0" w:color="auto"/>
            <w:left w:val="none" w:sz="0" w:space="0" w:color="auto"/>
            <w:bottom w:val="none" w:sz="0" w:space="0" w:color="auto"/>
            <w:right w:val="none" w:sz="0" w:space="0" w:color="auto"/>
          </w:divBdr>
          <w:divsChild>
            <w:div w:id="1441798646">
              <w:marLeft w:val="0"/>
              <w:marRight w:val="0"/>
              <w:marTop w:val="0"/>
              <w:marBottom w:val="0"/>
              <w:divBdr>
                <w:top w:val="none" w:sz="0" w:space="0" w:color="auto"/>
                <w:left w:val="none" w:sz="0" w:space="0" w:color="auto"/>
                <w:bottom w:val="none" w:sz="0" w:space="0" w:color="auto"/>
                <w:right w:val="none" w:sz="0" w:space="0" w:color="auto"/>
              </w:divBdr>
              <w:divsChild>
                <w:div w:id="52237072">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432169338">
      <w:bodyDiv w:val="1"/>
      <w:marLeft w:val="0"/>
      <w:marRight w:val="0"/>
      <w:marTop w:val="0"/>
      <w:marBottom w:val="0"/>
      <w:divBdr>
        <w:top w:val="none" w:sz="0" w:space="0" w:color="auto"/>
        <w:left w:val="none" w:sz="0" w:space="0" w:color="auto"/>
        <w:bottom w:val="none" w:sz="0" w:space="0" w:color="auto"/>
        <w:right w:val="none" w:sz="0" w:space="0" w:color="auto"/>
      </w:divBdr>
      <w:divsChild>
        <w:div w:id="1580990555">
          <w:marLeft w:val="0"/>
          <w:marRight w:val="0"/>
          <w:marTop w:val="0"/>
          <w:marBottom w:val="0"/>
          <w:divBdr>
            <w:top w:val="none" w:sz="0" w:space="0" w:color="auto"/>
            <w:left w:val="none" w:sz="0" w:space="0" w:color="auto"/>
            <w:bottom w:val="none" w:sz="0" w:space="0" w:color="auto"/>
            <w:right w:val="none" w:sz="0" w:space="0" w:color="auto"/>
          </w:divBdr>
          <w:divsChild>
            <w:div w:id="1469590387">
              <w:marLeft w:val="0"/>
              <w:marRight w:val="0"/>
              <w:marTop w:val="0"/>
              <w:marBottom w:val="0"/>
              <w:divBdr>
                <w:top w:val="none" w:sz="0" w:space="0" w:color="auto"/>
                <w:left w:val="none" w:sz="0" w:space="0" w:color="auto"/>
                <w:bottom w:val="none" w:sz="0" w:space="0" w:color="auto"/>
                <w:right w:val="none" w:sz="0" w:space="0" w:color="auto"/>
              </w:divBdr>
              <w:divsChild>
                <w:div w:id="937372434">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462119916">
      <w:bodyDiv w:val="1"/>
      <w:marLeft w:val="0"/>
      <w:marRight w:val="0"/>
      <w:marTop w:val="0"/>
      <w:marBottom w:val="0"/>
      <w:divBdr>
        <w:top w:val="none" w:sz="0" w:space="0" w:color="auto"/>
        <w:left w:val="none" w:sz="0" w:space="0" w:color="auto"/>
        <w:bottom w:val="none" w:sz="0" w:space="0" w:color="auto"/>
        <w:right w:val="none" w:sz="0" w:space="0" w:color="auto"/>
      </w:divBdr>
    </w:div>
    <w:div w:id="473528290">
      <w:bodyDiv w:val="1"/>
      <w:marLeft w:val="0"/>
      <w:marRight w:val="0"/>
      <w:marTop w:val="0"/>
      <w:marBottom w:val="0"/>
      <w:divBdr>
        <w:top w:val="none" w:sz="0" w:space="0" w:color="auto"/>
        <w:left w:val="none" w:sz="0" w:space="0" w:color="auto"/>
        <w:bottom w:val="none" w:sz="0" w:space="0" w:color="auto"/>
        <w:right w:val="none" w:sz="0" w:space="0" w:color="auto"/>
      </w:divBdr>
    </w:div>
    <w:div w:id="482622865">
      <w:bodyDiv w:val="1"/>
      <w:marLeft w:val="0"/>
      <w:marRight w:val="0"/>
      <w:marTop w:val="0"/>
      <w:marBottom w:val="0"/>
      <w:divBdr>
        <w:top w:val="none" w:sz="0" w:space="0" w:color="auto"/>
        <w:left w:val="none" w:sz="0" w:space="0" w:color="auto"/>
        <w:bottom w:val="none" w:sz="0" w:space="0" w:color="auto"/>
        <w:right w:val="none" w:sz="0" w:space="0" w:color="auto"/>
      </w:divBdr>
    </w:div>
    <w:div w:id="484007945">
      <w:bodyDiv w:val="1"/>
      <w:marLeft w:val="0"/>
      <w:marRight w:val="0"/>
      <w:marTop w:val="0"/>
      <w:marBottom w:val="0"/>
      <w:divBdr>
        <w:top w:val="none" w:sz="0" w:space="0" w:color="auto"/>
        <w:left w:val="none" w:sz="0" w:space="0" w:color="auto"/>
        <w:bottom w:val="none" w:sz="0" w:space="0" w:color="auto"/>
        <w:right w:val="none" w:sz="0" w:space="0" w:color="auto"/>
      </w:divBdr>
    </w:div>
    <w:div w:id="498233679">
      <w:bodyDiv w:val="1"/>
      <w:marLeft w:val="0"/>
      <w:marRight w:val="0"/>
      <w:marTop w:val="0"/>
      <w:marBottom w:val="0"/>
      <w:divBdr>
        <w:top w:val="none" w:sz="0" w:space="0" w:color="auto"/>
        <w:left w:val="none" w:sz="0" w:space="0" w:color="auto"/>
        <w:bottom w:val="none" w:sz="0" w:space="0" w:color="auto"/>
        <w:right w:val="none" w:sz="0" w:space="0" w:color="auto"/>
      </w:divBdr>
    </w:div>
    <w:div w:id="528568873">
      <w:bodyDiv w:val="1"/>
      <w:marLeft w:val="0"/>
      <w:marRight w:val="0"/>
      <w:marTop w:val="0"/>
      <w:marBottom w:val="0"/>
      <w:divBdr>
        <w:top w:val="none" w:sz="0" w:space="0" w:color="auto"/>
        <w:left w:val="none" w:sz="0" w:space="0" w:color="auto"/>
        <w:bottom w:val="none" w:sz="0" w:space="0" w:color="auto"/>
        <w:right w:val="none" w:sz="0" w:space="0" w:color="auto"/>
      </w:divBdr>
    </w:div>
    <w:div w:id="529956321">
      <w:bodyDiv w:val="1"/>
      <w:marLeft w:val="0"/>
      <w:marRight w:val="0"/>
      <w:marTop w:val="0"/>
      <w:marBottom w:val="0"/>
      <w:divBdr>
        <w:top w:val="none" w:sz="0" w:space="0" w:color="auto"/>
        <w:left w:val="none" w:sz="0" w:space="0" w:color="auto"/>
        <w:bottom w:val="none" w:sz="0" w:space="0" w:color="auto"/>
        <w:right w:val="none" w:sz="0" w:space="0" w:color="auto"/>
      </w:divBdr>
    </w:div>
    <w:div w:id="544560642">
      <w:bodyDiv w:val="1"/>
      <w:marLeft w:val="0"/>
      <w:marRight w:val="0"/>
      <w:marTop w:val="0"/>
      <w:marBottom w:val="0"/>
      <w:divBdr>
        <w:top w:val="none" w:sz="0" w:space="0" w:color="auto"/>
        <w:left w:val="none" w:sz="0" w:space="0" w:color="auto"/>
        <w:bottom w:val="none" w:sz="0" w:space="0" w:color="auto"/>
        <w:right w:val="none" w:sz="0" w:space="0" w:color="auto"/>
      </w:divBdr>
    </w:div>
    <w:div w:id="548345795">
      <w:bodyDiv w:val="1"/>
      <w:marLeft w:val="0"/>
      <w:marRight w:val="0"/>
      <w:marTop w:val="0"/>
      <w:marBottom w:val="0"/>
      <w:divBdr>
        <w:top w:val="none" w:sz="0" w:space="0" w:color="auto"/>
        <w:left w:val="none" w:sz="0" w:space="0" w:color="auto"/>
        <w:bottom w:val="none" w:sz="0" w:space="0" w:color="auto"/>
        <w:right w:val="none" w:sz="0" w:space="0" w:color="auto"/>
      </w:divBdr>
    </w:div>
    <w:div w:id="556891821">
      <w:bodyDiv w:val="1"/>
      <w:marLeft w:val="0"/>
      <w:marRight w:val="0"/>
      <w:marTop w:val="0"/>
      <w:marBottom w:val="0"/>
      <w:divBdr>
        <w:top w:val="none" w:sz="0" w:space="0" w:color="auto"/>
        <w:left w:val="none" w:sz="0" w:space="0" w:color="auto"/>
        <w:bottom w:val="none" w:sz="0" w:space="0" w:color="auto"/>
        <w:right w:val="none" w:sz="0" w:space="0" w:color="auto"/>
      </w:divBdr>
    </w:div>
    <w:div w:id="569387447">
      <w:bodyDiv w:val="1"/>
      <w:marLeft w:val="0"/>
      <w:marRight w:val="0"/>
      <w:marTop w:val="0"/>
      <w:marBottom w:val="0"/>
      <w:divBdr>
        <w:top w:val="none" w:sz="0" w:space="0" w:color="auto"/>
        <w:left w:val="none" w:sz="0" w:space="0" w:color="auto"/>
        <w:bottom w:val="none" w:sz="0" w:space="0" w:color="auto"/>
        <w:right w:val="none" w:sz="0" w:space="0" w:color="auto"/>
      </w:divBdr>
    </w:div>
    <w:div w:id="589386167">
      <w:bodyDiv w:val="1"/>
      <w:marLeft w:val="0"/>
      <w:marRight w:val="0"/>
      <w:marTop w:val="0"/>
      <w:marBottom w:val="0"/>
      <w:divBdr>
        <w:top w:val="none" w:sz="0" w:space="0" w:color="auto"/>
        <w:left w:val="none" w:sz="0" w:space="0" w:color="auto"/>
        <w:bottom w:val="none" w:sz="0" w:space="0" w:color="auto"/>
        <w:right w:val="none" w:sz="0" w:space="0" w:color="auto"/>
      </w:divBdr>
    </w:div>
    <w:div w:id="687828065">
      <w:bodyDiv w:val="1"/>
      <w:marLeft w:val="0"/>
      <w:marRight w:val="0"/>
      <w:marTop w:val="0"/>
      <w:marBottom w:val="0"/>
      <w:divBdr>
        <w:top w:val="none" w:sz="0" w:space="0" w:color="auto"/>
        <w:left w:val="none" w:sz="0" w:space="0" w:color="auto"/>
        <w:bottom w:val="none" w:sz="0" w:space="0" w:color="auto"/>
        <w:right w:val="none" w:sz="0" w:space="0" w:color="auto"/>
      </w:divBdr>
    </w:div>
    <w:div w:id="704258654">
      <w:bodyDiv w:val="1"/>
      <w:marLeft w:val="0"/>
      <w:marRight w:val="0"/>
      <w:marTop w:val="0"/>
      <w:marBottom w:val="0"/>
      <w:divBdr>
        <w:top w:val="none" w:sz="0" w:space="0" w:color="auto"/>
        <w:left w:val="none" w:sz="0" w:space="0" w:color="auto"/>
        <w:bottom w:val="none" w:sz="0" w:space="0" w:color="auto"/>
        <w:right w:val="none" w:sz="0" w:space="0" w:color="auto"/>
      </w:divBdr>
    </w:div>
    <w:div w:id="704671713">
      <w:bodyDiv w:val="1"/>
      <w:marLeft w:val="0"/>
      <w:marRight w:val="0"/>
      <w:marTop w:val="0"/>
      <w:marBottom w:val="0"/>
      <w:divBdr>
        <w:top w:val="none" w:sz="0" w:space="0" w:color="auto"/>
        <w:left w:val="none" w:sz="0" w:space="0" w:color="auto"/>
        <w:bottom w:val="none" w:sz="0" w:space="0" w:color="auto"/>
        <w:right w:val="none" w:sz="0" w:space="0" w:color="auto"/>
      </w:divBdr>
    </w:div>
    <w:div w:id="720902212">
      <w:bodyDiv w:val="1"/>
      <w:marLeft w:val="0"/>
      <w:marRight w:val="0"/>
      <w:marTop w:val="0"/>
      <w:marBottom w:val="0"/>
      <w:divBdr>
        <w:top w:val="none" w:sz="0" w:space="0" w:color="auto"/>
        <w:left w:val="none" w:sz="0" w:space="0" w:color="auto"/>
        <w:bottom w:val="none" w:sz="0" w:space="0" w:color="auto"/>
        <w:right w:val="none" w:sz="0" w:space="0" w:color="auto"/>
      </w:divBdr>
    </w:div>
    <w:div w:id="738940781">
      <w:bodyDiv w:val="1"/>
      <w:marLeft w:val="0"/>
      <w:marRight w:val="0"/>
      <w:marTop w:val="0"/>
      <w:marBottom w:val="0"/>
      <w:divBdr>
        <w:top w:val="none" w:sz="0" w:space="0" w:color="auto"/>
        <w:left w:val="none" w:sz="0" w:space="0" w:color="auto"/>
        <w:bottom w:val="none" w:sz="0" w:space="0" w:color="auto"/>
        <w:right w:val="none" w:sz="0" w:space="0" w:color="auto"/>
      </w:divBdr>
    </w:div>
    <w:div w:id="762149279">
      <w:bodyDiv w:val="1"/>
      <w:marLeft w:val="0"/>
      <w:marRight w:val="0"/>
      <w:marTop w:val="0"/>
      <w:marBottom w:val="0"/>
      <w:divBdr>
        <w:top w:val="none" w:sz="0" w:space="0" w:color="auto"/>
        <w:left w:val="none" w:sz="0" w:space="0" w:color="auto"/>
        <w:bottom w:val="none" w:sz="0" w:space="0" w:color="auto"/>
        <w:right w:val="none" w:sz="0" w:space="0" w:color="auto"/>
      </w:divBdr>
    </w:div>
    <w:div w:id="781657619">
      <w:bodyDiv w:val="1"/>
      <w:marLeft w:val="0"/>
      <w:marRight w:val="0"/>
      <w:marTop w:val="0"/>
      <w:marBottom w:val="0"/>
      <w:divBdr>
        <w:top w:val="none" w:sz="0" w:space="0" w:color="auto"/>
        <w:left w:val="none" w:sz="0" w:space="0" w:color="auto"/>
        <w:bottom w:val="none" w:sz="0" w:space="0" w:color="auto"/>
        <w:right w:val="none" w:sz="0" w:space="0" w:color="auto"/>
      </w:divBdr>
    </w:div>
    <w:div w:id="789789338">
      <w:bodyDiv w:val="1"/>
      <w:marLeft w:val="0"/>
      <w:marRight w:val="0"/>
      <w:marTop w:val="0"/>
      <w:marBottom w:val="0"/>
      <w:divBdr>
        <w:top w:val="none" w:sz="0" w:space="0" w:color="auto"/>
        <w:left w:val="none" w:sz="0" w:space="0" w:color="auto"/>
        <w:bottom w:val="none" w:sz="0" w:space="0" w:color="auto"/>
        <w:right w:val="none" w:sz="0" w:space="0" w:color="auto"/>
      </w:divBdr>
    </w:div>
    <w:div w:id="802385038">
      <w:bodyDiv w:val="1"/>
      <w:marLeft w:val="0"/>
      <w:marRight w:val="0"/>
      <w:marTop w:val="0"/>
      <w:marBottom w:val="0"/>
      <w:divBdr>
        <w:top w:val="none" w:sz="0" w:space="0" w:color="auto"/>
        <w:left w:val="none" w:sz="0" w:space="0" w:color="auto"/>
        <w:bottom w:val="none" w:sz="0" w:space="0" w:color="auto"/>
        <w:right w:val="none" w:sz="0" w:space="0" w:color="auto"/>
      </w:divBdr>
    </w:div>
    <w:div w:id="810177715">
      <w:bodyDiv w:val="1"/>
      <w:marLeft w:val="0"/>
      <w:marRight w:val="0"/>
      <w:marTop w:val="0"/>
      <w:marBottom w:val="0"/>
      <w:divBdr>
        <w:top w:val="none" w:sz="0" w:space="0" w:color="auto"/>
        <w:left w:val="none" w:sz="0" w:space="0" w:color="auto"/>
        <w:bottom w:val="none" w:sz="0" w:space="0" w:color="auto"/>
        <w:right w:val="none" w:sz="0" w:space="0" w:color="auto"/>
      </w:divBdr>
    </w:div>
    <w:div w:id="883754702">
      <w:bodyDiv w:val="1"/>
      <w:marLeft w:val="0"/>
      <w:marRight w:val="0"/>
      <w:marTop w:val="0"/>
      <w:marBottom w:val="0"/>
      <w:divBdr>
        <w:top w:val="none" w:sz="0" w:space="0" w:color="auto"/>
        <w:left w:val="none" w:sz="0" w:space="0" w:color="auto"/>
        <w:bottom w:val="none" w:sz="0" w:space="0" w:color="auto"/>
        <w:right w:val="none" w:sz="0" w:space="0" w:color="auto"/>
      </w:divBdr>
    </w:div>
    <w:div w:id="916129319">
      <w:bodyDiv w:val="1"/>
      <w:marLeft w:val="0"/>
      <w:marRight w:val="0"/>
      <w:marTop w:val="0"/>
      <w:marBottom w:val="0"/>
      <w:divBdr>
        <w:top w:val="none" w:sz="0" w:space="0" w:color="auto"/>
        <w:left w:val="none" w:sz="0" w:space="0" w:color="auto"/>
        <w:bottom w:val="none" w:sz="0" w:space="0" w:color="auto"/>
        <w:right w:val="none" w:sz="0" w:space="0" w:color="auto"/>
      </w:divBdr>
    </w:div>
    <w:div w:id="927082900">
      <w:bodyDiv w:val="1"/>
      <w:marLeft w:val="0"/>
      <w:marRight w:val="0"/>
      <w:marTop w:val="0"/>
      <w:marBottom w:val="0"/>
      <w:divBdr>
        <w:top w:val="none" w:sz="0" w:space="0" w:color="auto"/>
        <w:left w:val="none" w:sz="0" w:space="0" w:color="auto"/>
        <w:bottom w:val="none" w:sz="0" w:space="0" w:color="auto"/>
        <w:right w:val="none" w:sz="0" w:space="0" w:color="auto"/>
      </w:divBdr>
    </w:div>
    <w:div w:id="958798605">
      <w:bodyDiv w:val="1"/>
      <w:marLeft w:val="0"/>
      <w:marRight w:val="0"/>
      <w:marTop w:val="0"/>
      <w:marBottom w:val="0"/>
      <w:divBdr>
        <w:top w:val="none" w:sz="0" w:space="0" w:color="auto"/>
        <w:left w:val="none" w:sz="0" w:space="0" w:color="auto"/>
        <w:bottom w:val="none" w:sz="0" w:space="0" w:color="auto"/>
        <w:right w:val="none" w:sz="0" w:space="0" w:color="auto"/>
      </w:divBdr>
    </w:div>
    <w:div w:id="1034843039">
      <w:bodyDiv w:val="1"/>
      <w:marLeft w:val="0"/>
      <w:marRight w:val="0"/>
      <w:marTop w:val="0"/>
      <w:marBottom w:val="0"/>
      <w:divBdr>
        <w:top w:val="none" w:sz="0" w:space="0" w:color="auto"/>
        <w:left w:val="none" w:sz="0" w:space="0" w:color="auto"/>
        <w:bottom w:val="none" w:sz="0" w:space="0" w:color="auto"/>
        <w:right w:val="none" w:sz="0" w:space="0" w:color="auto"/>
      </w:divBdr>
      <w:divsChild>
        <w:div w:id="893125137">
          <w:marLeft w:val="0"/>
          <w:marRight w:val="0"/>
          <w:marTop w:val="0"/>
          <w:marBottom w:val="0"/>
          <w:divBdr>
            <w:top w:val="none" w:sz="0" w:space="0" w:color="auto"/>
            <w:left w:val="none" w:sz="0" w:space="0" w:color="auto"/>
            <w:bottom w:val="none" w:sz="0" w:space="0" w:color="auto"/>
            <w:right w:val="none" w:sz="0" w:space="0" w:color="auto"/>
          </w:divBdr>
          <w:divsChild>
            <w:div w:id="1715930177">
              <w:marLeft w:val="0"/>
              <w:marRight w:val="0"/>
              <w:marTop w:val="0"/>
              <w:marBottom w:val="0"/>
              <w:divBdr>
                <w:top w:val="none" w:sz="0" w:space="0" w:color="auto"/>
                <w:left w:val="none" w:sz="0" w:space="0" w:color="auto"/>
                <w:bottom w:val="none" w:sz="0" w:space="0" w:color="auto"/>
                <w:right w:val="none" w:sz="0" w:space="0" w:color="auto"/>
              </w:divBdr>
              <w:divsChild>
                <w:div w:id="1799377768">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074159694">
      <w:bodyDiv w:val="1"/>
      <w:marLeft w:val="0"/>
      <w:marRight w:val="0"/>
      <w:marTop w:val="0"/>
      <w:marBottom w:val="0"/>
      <w:divBdr>
        <w:top w:val="none" w:sz="0" w:space="0" w:color="auto"/>
        <w:left w:val="none" w:sz="0" w:space="0" w:color="auto"/>
        <w:bottom w:val="none" w:sz="0" w:space="0" w:color="auto"/>
        <w:right w:val="none" w:sz="0" w:space="0" w:color="auto"/>
      </w:divBdr>
    </w:div>
    <w:div w:id="1094595231">
      <w:bodyDiv w:val="1"/>
      <w:marLeft w:val="0"/>
      <w:marRight w:val="0"/>
      <w:marTop w:val="0"/>
      <w:marBottom w:val="0"/>
      <w:divBdr>
        <w:top w:val="none" w:sz="0" w:space="0" w:color="auto"/>
        <w:left w:val="none" w:sz="0" w:space="0" w:color="auto"/>
        <w:bottom w:val="none" w:sz="0" w:space="0" w:color="auto"/>
        <w:right w:val="none" w:sz="0" w:space="0" w:color="auto"/>
      </w:divBdr>
    </w:div>
    <w:div w:id="1106537863">
      <w:bodyDiv w:val="1"/>
      <w:marLeft w:val="0"/>
      <w:marRight w:val="0"/>
      <w:marTop w:val="0"/>
      <w:marBottom w:val="0"/>
      <w:divBdr>
        <w:top w:val="none" w:sz="0" w:space="0" w:color="auto"/>
        <w:left w:val="none" w:sz="0" w:space="0" w:color="auto"/>
        <w:bottom w:val="none" w:sz="0" w:space="0" w:color="auto"/>
        <w:right w:val="none" w:sz="0" w:space="0" w:color="auto"/>
      </w:divBdr>
    </w:div>
    <w:div w:id="1127966171">
      <w:bodyDiv w:val="1"/>
      <w:marLeft w:val="0"/>
      <w:marRight w:val="0"/>
      <w:marTop w:val="0"/>
      <w:marBottom w:val="0"/>
      <w:divBdr>
        <w:top w:val="none" w:sz="0" w:space="0" w:color="auto"/>
        <w:left w:val="none" w:sz="0" w:space="0" w:color="auto"/>
        <w:bottom w:val="none" w:sz="0" w:space="0" w:color="auto"/>
        <w:right w:val="none" w:sz="0" w:space="0" w:color="auto"/>
      </w:divBdr>
    </w:div>
    <w:div w:id="1193615669">
      <w:bodyDiv w:val="1"/>
      <w:marLeft w:val="0"/>
      <w:marRight w:val="0"/>
      <w:marTop w:val="0"/>
      <w:marBottom w:val="0"/>
      <w:divBdr>
        <w:top w:val="none" w:sz="0" w:space="0" w:color="auto"/>
        <w:left w:val="none" w:sz="0" w:space="0" w:color="auto"/>
        <w:bottom w:val="none" w:sz="0" w:space="0" w:color="auto"/>
        <w:right w:val="none" w:sz="0" w:space="0" w:color="auto"/>
      </w:divBdr>
    </w:div>
    <w:div w:id="1195390810">
      <w:bodyDiv w:val="1"/>
      <w:marLeft w:val="0"/>
      <w:marRight w:val="0"/>
      <w:marTop w:val="0"/>
      <w:marBottom w:val="0"/>
      <w:divBdr>
        <w:top w:val="none" w:sz="0" w:space="0" w:color="auto"/>
        <w:left w:val="none" w:sz="0" w:space="0" w:color="auto"/>
        <w:bottom w:val="none" w:sz="0" w:space="0" w:color="auto"/>
        <w:right w:val="none" w:sz="0" w:space="0" w:color="auto"/>
      </w:divBdr>
    </w:div>
    <w:div w:id="1198813613">
      <w:bodyDiv w:val="1"/>
      <w:marLeft w:val="0"/>
      <w:marRight w:val="0"/>
      <w:marTop w:val="0"/>
      <w:marBottom w:val="0"/>
      <w:divBdr>
        <w:top w:val="none" w:sz="0" w:space="0" w:color="auto"/>
        <w:left w:val="none" w:sz="0" w:space="0" w:color="auto"/>
        <w:bottom w:val="none" w:sz="0" w:space="0" w:color="auto"/>
        <w:right w:val="none" w:sz="0" w:space="0" w:color="auto"/>
      </w:divBdr>
    </w:div>
    <w:div w:id="1238133248">
      <w:bodyDiv w:val="1"/>
      <w:marLeft w:val="0"/>
      <w:marRight w:val="0"/>
      <w:marTop w:val="0"/>
      <w:marBottom w:val="0"/>
      <w:divBdr>
        <w:top w:val="none" w:sz="0" w:space="0" w:color="auto"/>
        <w:left w:val="none" w:sz="0" w:space="0" w:color="auto"/>
        <w:bottom w:val="none" w:sz="0" w:space="0" w:color="auto"/>
        <w:right w:val="none" w:sz="0" w:space="0" w:color="auto"/>
      </w:divBdr>
    </w:div>
    <w:div w:id="1266963452">
      <w:bodyDiv w:val="1"/>
      <w:marLeft w:val="0"/>
      <w:marRight w:val="0"/>
      <w:marTop w:val="0"/>
      <w:marBottom w:val="0"/>
      <w:divBdr>
        <w:top w:val="none" w:sz="0" w:space="0" w:color="auto"/>
        <w:left w:val="none" w:sz="0" w:space="0" w:color="auto"/>
        <w:bottom w:val="none" w:sz="0" w:space="0" w:color="auto"/>
        <w:right w:val="none" w:sz="0" w:space="0" w:color="auto"/>
      </w:divBdr>
    </w:div>
    <w:div w:id="1272518851">
      <w:bodyDiv w:val="1"/>
      <w:marLeft w:val="0"/>
      <w:marRight w:val="0"/>
      <w:marTop w:val="0"/>
      <w:marBottom w:val="0"/>
      <w:divBdr>
        <w:top w:val="none" w:sz="0" w:space="0" w:color="auto"/>
        <w:left w:val="none" w:sz="0" w:space="0" w:color="auto"/>
        <w:bottom w:val="none" w:sz="0" w:space="0" w:color="auto"/>
        <w:right w:val="none" w:sz="0" w:space="0" w:color="auto"/>
      </w:divBdr>
    </w:div>
    <w:div w:id="1318337923">
      <w:bodyDiv w:val="1"/>
      <w:marLeft w:val="0"/>
      <w:marRight w:val="0"/>
      <w:marTop w:val="0"/>
      <w:marBottom w:val="0"/>
      <w:divBdr>
        <w:top w:val="none" w:sz="0" w:space="0" w:color="auto"/>
        <w:left w:val="none" w:sz="0" w:space="0" w:color="auto"/>
        <w:bottom w:val="none" w:sz="0" w:space="0" w:color="auto"/>
        <w:right w:val="none" w:sz="0" w:space="0" w:color="auto"/>
      </w:divBdr>
    </w:div>
    <w:div w:id="1323698093">
      <w:bodyDiv w:val="1"/>
      <w:marLeft w:val="0"/>
      <w:marRight w:val="0"/>
      <w:marTop w:val="0"/>
      <w:marBottom w:val="0"/>
      <w:divBdr>
        <w:top w:val="none" w:sz="0" w:space="0" w:color="auto"/>
        <w:left w:val="none" w:sz="0" w:space="0" w:color="auto"/>
        <w:bottom w:val="none" w:sz="0" w:space="0" w:color="auto"/>
        <w:right w:val="none" w:sz="0" w:space="0" w:color="auto"/>
      </w:divBdr>
      <w:divsChild>
        <w:div w:id="622420968">
          <w:marLeft w:val="0"/>
          <w:marRight w:val="0"/>
          <w:marTop w:val="0"/>
          <w:marBottom w:val="0"/>
          <w:divBdr>
            <w:top w:val="none" w:sz="0" w:space="0" w:color="auto"/>
            <w:left w:val="none" w:sz="0" w:space="0" w:color="auto"/>
            <w:bottom w:val="none" w:sz="0" w:space="0" w:color="auto"/>
            <w:right w:val="none" w:sz="0" w:space="0" w:color="auto"/>
          </w:divBdr>
          <w:divsChild>
            <w:div w:id="1135224412">
              <w:marLeft w:val="0"/>
              <w:marRight w:val="0"/>
              <w:marTop w:val="0"/>
              <w:marBottom w:val="0"/>
              <w:divBdr>
                <w:top w:val="none" w:sz="0" w:space="0" w:color="auto"/>
                <w:left w:val="none" w:sz="0" w:space="0" w:color="auto"/>
                <w:bottom w:val="none" w:sz="0" w:space="0" w:color="auto"/>
                <w:right w:val="none" w:sz="0" w:space="0" w:color="auto"/>
              </w:divBdr>
              <w:divsChild>
                <w:div w:id="1133328963">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354844669">
      <w:bodyDiv w:val="1"/>
      <w:marLeft w:val="0"/>
      <w:marRight w:val="0"/>
      <w:marTop w:val="0"/>
      <w:marBottom w:val="0"/>
      <w:divBdr>
        <w:top w:val="none" w:sz="0" w:space="0" w:color="auto"/>
        <w:left w:val="none" w:sz="0" w:space="0" w:color="auto"/>
        <w:bottom w:val="none" w:sz="0" w:space="0" w:color="auto"/>
        <w:right w:val="none" w:sz="0" w:space="0" w:color="auto"/>
      </w:divBdr>
    </w:div>
    <w:div w:id="1404598361">
      <w:bodyDiv w:val="1"/>
      <w:marLeft w:val="0"/>
      <w:marRight w:val="0"/>
      <w:marTop w:val="0"/>
      <w:marBottom w:val="0"/>
      <w:divBdr>
        <w:top w:val="none" w:sz="0" w:space="0" w:color="auto"/>
        <w:left w:val="none" w:sz="0" w:space="0" w:color="auto"/>
        <w:bottom w:val="none" w:sz="0" w:space="0" w:color="auto"/>
        <w:right w:val="none" w:sz="0" w:space="0" w:color="auto"/>
      </w:divBdr>
    </w:div>
    <w:div w:id="1422867926">
      <w:bodyDiv w:val="1"/>
      <w:marLeft w:val="0"/>
      <w:marRight w:val="0"/>
      <w:marTop w:val="0"/>
      <w:marBottom w:val="0"/>
      <w:divBdr>
        <w:top w:val="none" w:sz="0" w:space="0" w:color="auto"/>
        <w:left w:val="none" w:sz="0" w:space="0" w:color="auto"/>
        <w:bottom w:val="none" w:sz="0" w:space="0" w:color="auto"/>
        <w:right w:val="none" w:sz="0" w:space="0" w:color="auto"/>
      </w:divBdr>
    </w:div>
    <w:div w:id="1460798170">
      <w:bodyDiv w:val="1"/>
      <w:marLeft w:val="0"/>
      <w:marRight w:val="0"/>
      <w:marTop w:val="0"/>
      <w:marBottom w:val="0"/>
      <w:divBdr>
        <w:top w:val="none" w:sz="0" w:space="0" w:color="auto"/>
        <w:left w:val="none" w:sz="0" w:space="0" w:color="auto"/>
        <w:bottom w:val="none" w:sz="0" w:space="0" w:color="auto"/>
        <w:right w:val="none" w:sz="0" w:space="0" w:color="auto"/>
      </w:divBdr>
    </w:div>
    <w:div w:id="1464302061">
      <w:bodyDiv w:val="1"/>
      <w:marLeft w:val="0"/>
      <w:marRight w:val="0"/>
      <w:marTop w:val="0"/>
      <w:marBottom w:val="0"/>
      <w:divBdr>
        <w:top w:val="none" w:sz="0" w:space="0" w:color="auto"/>
        <w:left w:val="none" w:sz="0" w:space="0" w:color="auto"/>
        <w:bottom w:val="none" w:sz="0" w:space="0" w:color="auto"/>
        <w:right w:val="none" w:sz="0" w:space="0" w:color="auto"/>
      </w:divBdr>
    </w:div>
    <w:div w:id="1468474859">
      <w:bodyDiv w:val="1"/>
      <w:marLeft w:val="0"/>
      <w:marRight w:val="0"/>
      <w:marTop w:val="0"/>
      <w:marBottom w:val="0"/>
      <w:divBdr>
        <w:top w:val="none" w:sz="0" w:space="0" w:color="auto"/>
        <w:left w:val="none" w:sz="0" w:space="0" w:color="auto"/>
        <w:bottom w:val="none" w:sz="0" w:space="0" w:color="auto"/>
        <w:right w:val="none" w:sz="0" w:space="0" w:color="auto"/>
      </w:divBdr>
    </w:div>
    <w:div w:id="1476293078">
      <w:bodyDiv w:val="1"/>
      <w:marLeft w:val="0"/>
      <w:marRight w:val="0"/>
      <w:marTop w:val="0"/>
      <w:marBottom w:val="0"/>
      <w:divBdr>
        <w:top w:val="none" w:sz="0" w:space="0" w:color="auto"/>
        <w:left w:val="none" w:sz="0" w:space="0" w:color="auto"/>
        <w:bottom w:val="none" w:sz="0" w:space="0" w:color="auto"/>
        <w:right w:val="none" w:sz="0" w:space="0" w:color="auto"/>
      </w:divBdr>
    </w:div>
    <w:div w:id="1565602357">
      <w:bodyDiv w:val="1"/>
      <w:marLeft w:val="0"/>
      <w:marRight w:val="0"/>
      <w:marTop w:val="0"/>
      <w:marBottom w:val="0"/>
      <w:divBdr>
        <w:top w:val="none" w:sz="0" w:space="0" w:color="auto"/>
        <w:left w:val="none" w:sz="0" w:space="0" w:color="auto"/>
        <w:bottom w:val="none" w:sz="0" w:space="0" w:color="auto"/>
        <w:right w:val="none" w:sz="0" w:space="0" w:color="auto"/>
      </w:divBdr>
    </w:div>
    <w:div w:id="1596985397">
      <w:bodyDiv w:val="1"/>
      <w:marLeft w:val="0"/>
      <w:marRight w:val="0"/>
      <w:marTop w:val="0"/>
      <w:marBottom w:val="0"/>
      <w:divBdr>
        <w:top w:val="none" w:sz="0" w:space="0" w:color="auto"/>
        <w:left w:val="none" w:sz="0" w:space="0" w:color="auto"/>
        <w:bottom w:val="none" w:sz="0" w:space="0" w:color="auto"/>
        <w:right w:val="none" w:sz="0" w:space="0" w:color="auto"/>
      </w:divBdr>
    </w:div>
    <w:div w:id="1626229848">
      <w:bodyDiv w:val="1"/>
      <w:marLeft w:val="0"/>
      <w:marRight w:val="0"/>
      <w:marTop w:val="0"/>
      <w:marBottom w:val="0"/>
      <w:divBdr>
        <w:top w:val="none" w:sz="0" w:space="0" w:color="auto"/>
        <w:left w:val="none" w:sz="0" w:space="0" w:color="auto"/>
        <w:bottom w:val="none" w:sz="0" w:space="0" w:color="auto"/>
        <w:right w:val="none" w:sz="0" w:space="0" w:color="auto"/>
      </w:divBdr>
    </w:div>
    <w:div w:id="1720128154">
      <w:bodyDiv w:val="1"/>
      <w:marLeft w:val="0"/>
      <w:marRight w:val="0"/>
      <w:marTop w:val="0"/>
      <w:marBottom w:val="0"/>
      <w:divBdr>
        <w:top w:val="none" w:sz="0" w:space="0" w:color="auto"/>
        <w:left w:val="none" w:sz="0" w:space="0" w:color="auto"/>
        <w:bottom w:val="none" w:sz="0" w:space="0" w:color="auto"/>
        <w:right w:val="none" w:sz="0" w:space="0" w:color="auto"/>
      </w:divBdr>
    </w:div>
    <w:div w:id="1749108269">
      <w:bodyDiv w:val="1"/>
      <w:marLeft w:val="0"/>
      <w:marRight w:val="0"/>
      <w:marTop w:val="0"/>
      <w:marBottom w:val="0"/>
      <w:divBdr>
        <w:top w:val="none" w:sz="0" w:space="0" w:color="auto"/>
        <w:left w:val="none" w:sz="0" w:space="0" w:color="auto"/>
        <w:bottom w:val="none" w:sz="0" w:space="0" w:color="auto"/>
        <w:right w:val="none" w:sz="0" w:space="0" w:color="auto"/>
      </w:divBdr>
      <w:divsChild>
        <w:div w:id="1928802807">
          <w:marLeft w:val="0"/>
          <w:marRight w:val="0"/>
          <w:marTop w:val="0"/>
          <w:marBottom w:val="0"/>
          <w:divBdr>
            <w:top w:val="none" w:sz="0" w:space="0" w:color="auto"/>
            <w:left w:val="none" w:sz="0" w:space="0" w:color="auto"/>
            <w:bottom w:val="none" w:sz="0" w:space="0" w:color="auto"/>
            <w:right w:val="none" w:sz="0" w:space="0" w:color="auto"/>
          </w:divBdr>
          <w:divsChild>
            <w:div w:id="1877232845">
              <w:marLeft w:val="0"/>
              <w:marRight w:val="0"/>
              <w:marTop w:val="0"/>
              <w:marBottom w:val="0"/>
              <w:divBdr>
                <w:top w:val="none" w:sz="0" w:space="0" w:color="auto"/>
                <w:left w:val="none" w:sz="0" w:space="0" w:color="auto"/>
                <w:bottom w:val="none" w:sz="0" w:space="0" w:color="auto"/>
                <w:right w:val="none" w:sz="0" w:space="0" w:color="auto"/>
              </w:divBdr>
              <w:divsChild>
                <w:div w:id="937099650">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771588472">
      <w:bodyDiv w:val="1"/>
      <w:marLeft w:val="0"/>
      <w:marRight w:val="0"/>
      <w:marTop w:val="0"/>
      <w:marBottom w:val="0"/>
      <w:divBdr>
        <w:top w:val="none" w:sz="0" w:space="0" w:color="auto"/>
        <w:left w:val="none" w:sz="0" w:space="0" w:color="auto"/>
        <w:bottom w:val="none" w:sz="0" w:space="0" w:color="auto"/>
        <w:right w:val="none" w:sz="0" w:space="0" w:color="auto"/>
      </w:divBdr>
    </w:div>
    <w:div w:id="1783569802">
      <w:bodyDiv w:val="1"/>
      <w:marLeft w:val="0"/>
      <w:marRight w:val="0"/>
      <w:marTop w:val="0"/>
      <w:marBottom w:val="0"/>
      <w:divBdr>
        <w:top w:val="none" w:sz="0" w:space="0" w:color="auto"/>
        <w:left w:val="none" w:sz="0" w:space="0" w:color="auto"/>
        <w:bottom w:val="none" w:sz="0" w:space="0" w:color="auto"/>
        <w:right w:val="none" w:sz="0" w:space="0" w:color="auto"/>
      </w:divBdr>
    </w:div>
    <w:div w:id="1814986348">
      <w:bodyDiv w:val="1"/>
      <w:marLeft w:val="0"/>
      <w:marRight w:val="0"/>
      <w:marTop w:val="0"/>
      <w:marBottom w:val="0"/>
      <w:divBdr>
        <w:top w:val="none" w:sz="0" w:space="0" w:color="auto"/>
        <w:left w:val="none" w:sz="0" w:space="0" w:color="auto"/>
        <w:bottom w:val="none" w:sz="0" w:space="0" w:color="auto"/>
        <w:right w:val="none" w:sz="0" w:space="0" w:color="auto"/>
      </w:divBdr>
    </w:div>
    <w:div w:id="1829445344">
      <w:bodyDiv w:val="1"/>
      <w:marLeft w:val="0"/>
      <w:marRight w:val="0"/>
      <w:marTop w:val="0"/>
      <w:marBottom w:val="0"/>
      <w:divBdr>
        <w:top w:val="none" w:sz="0" w:space="0" w:color="auto"/>
        <w:left w:val="none" w:sz="0" w:space="0" w:color="auto"/>
        <w:bottom w:val="none" w:sz="0" w:space="0" w:color="auto"/>
        <w:right w:val="none" w:sz="0" w:space="0" w:color="auto"/>
      </w:divBdr>
    </w:div>
    <w:div w:id="1839149922">
      <w:bodyDiv w:val="1"/>
      <w:marLeft w:val="0"/>
      <w:marRight w:val="0"/>
      <w:marTop w:val="0"/>
      <w:marBottom w:val="0"/>
      <w:divBdr>
        <w:top w:val="none" w:sz="0" w:space="0" w:color="auto"/>
        <w:left w:val="none" w:sz="0" w:space="0" w:color="auto"/>
        <w:bottom w:val="none" w:sz="0" w:space="0" w:color="auto"/>
        <w:right w:val="none" w:sz="0" w:space="0" w:color="auto"/>
      </w:divBdr>
    </w:div>
    <w:div w:id="1861385875">
      <w:bodyDiv w:val="1"/>
      <w:marLeft w:val="0"/>
      <w:marRight w:val="0"/>
      <w:marTop w:val="0"/>
      <w:marBottom w:val="0"/>
      <w:divBdr>
        <w:top w:val="none" w:sz="0" w:space="0" w:color="auto"/>
        <w:left w:val="none" w:sz="0" w:space="0" w:color="auto"/>
        <w:bottom w:val="none" w:sz="0" w:space="0" w:color="auto"/>
        <w:right w:val="none" w:sz="0" w:space="0" w:color="auto"/>
      </w:divBdr>
    </w:div>
    <w:div w:id="1869755474">
      <w:bodyDiv w:val="1"/>
      <w:marLeft w:val="0"/>
      <w:marRight w:val="0"/>
      <w:marTop w:val="0"/>
      <w:marBottom w:val="0"/>
      <w:divBdr>
        <w:top w:val="none" w:sz="0" w:space="0" w:color="auto"/>
        <w:left w:val="none" w:sz="0" w:space="0" w:color="auto"/>
        <w:bottom w:val="none" w:sz="0" w:space="0" w:color="auto"/>
        <w:right w:val="none" w:sz="0" w:space="0" w:color="auto"/>
      </w:divBdr>
    </w:div>
    <w:div w:id="1887525893">
      <w:bodyDiv w:val="1"/>
      <w:marLeft w:val="0"/>
      <w:marRight w:val="0"/>
      <w:marTop w:val="0"/>
      <w:marBottom w:val="0"/>
      <w:divBdr>
        <w:top w:val="none" w:sz="0" w:space="0" w:color="auto"/>
        <w:left w:val="none" w:sz="0" w:space="0" w:color="auto"/>
        <w:bottom w:val="none" w:sz="0" w:space="0" w:color="auto"/>
        <w:right w:val="none" w:sz="0" w:space="0" w:color="auto"/>
      </w:divBdr>
    </w:div>
    <w:div w:id="1919173206">
      <w:bodyDiv w:val="1"/>
      <w:marLeft w:val="0"/>
      <w:marRight w:val="0"/>
      <w:marTop w:val="0"/>
      <w:marBottom w:val="0"/>
      <w:divBdr>
        <w:top w:val="none" w:sz="0" w:space="0" w:color="auto"/>
        <w:left w:val="none" w:sz="0" w:space="0" w:color="auto"/>
        <w:bottom w:val="none" w:sz="0" w:space="0" w:color="auto"/>
        <w:right w:val="none" w:sz="0" w:space="0" w:color="auto"/>
      </w:divBdr>
    </w:div>
    <w:div w:id="1921257296">
      <w:bodyDiv w:val="1"/>
      <w:marLeft w:val="0"/>
      <w:marRight w:val="0"/>
      <w:marTop w:val="0"/>
      <w:marBottom w:val="0"/>
      <w:divBdr>
        <w:top w:val="none" w:sz="0" w:space="0" w:color="auto"/>
        <w:left w:val="none" w:sz="0" w:space="0" w:color="auto"/>
        <w:bottom w:val="none" w:sz="0" w:space="0" w:color="auto"/>
        <w:right w:val="none" w:sz="0" w:space="0" w:color="auto"/>
      </w:divBdr>
    </w:div>
    <w:div w:id="1922983765">
      <w:bodyDiv w:val="1"/>
      <w:marLeft w:val="0"/>
      <w:marRight w:val="0"/>
      <w:marTop w:val="0"/>
      <w:marBottom w:val="0"/>
      <w:divBdr>
        <w:top w:val="none" w:sz="0" w:space="0" w:color="auto"/>
        <w:left w:val="none" w:sz="0" w:space="0" w:color="auto"/>
        <w:bottom w:val="none" w:sz="0" w:space="0" w:color="auto"/>
        <w:right w:val="none" w:sz="0" w:space="0" w:color="auto"/>
      </w:divBdr>
    </w:div>
    <w:div w:id="1927106679">
      <w:bodyDiv w:val="1"/>
      <w:marLeft w:val="0"/>
      <w:marRight w:val="0"/>
      <w:marTop w:val="0"/>
      <w:marBottom w:val="0"/>
      <w:divBdr>
        <w:top w:val="none" w:sz="0" w:space="0" w:color="auto"/>
        <w:left w:val="none" w:sz="0" w:space="0" w:color="auto"/>
        <w:bottom w:val="none" w:sz="0" w:space="0" w:color="auto"/>
        <w:right w:val="none" w:sz="0" w:space="0" w:color="auto"/>
      </w:divBdr>
    </w:div>
    <w:div w:id="1940746912">
      <w:bodyDiv w:val="1"/>
      <w:marLeft w:val="0"/>
      <w:marRight w:val="0"/>
      <w:marTop w:val="0"/>
      <w:marBottom w:val="0"/>
      <w:divBdr>
        <w:top w:val="none" w:sz="0" w:space="0" w:color="auto"/>
        <w:left w:val="none" w:sz="0" w:space="0" w:color="auto"/>
        <w:bottom w:val="none" w:sz="0" w:space="0" w:color="auto"/>
        <w:right w:val="none" w:sz="0" w:space="0" w:color="auto"/>
      </w:divBdr>
    </w:div>
    <w:div w:id="1993100984">
      <w:bodyDiv w:val="1"/>
      <w:marLeft w:val="0"/>
      <w:marRight w:val="0"/>
      <w:marTop w:val="0"/>
      <w:marBottom w:val="0"/>
      <w:divBdr>
        <w:top w:val="none" w:sz="0" w:space="0" w:color="auto"/>
        <w:left w:val="none" w:sz="0" w:space="0" w:color="auto"/>
        <w:bottom w:val="none" w:sz="0" w:space="0" w:color="auto"/>
        <w:right w:val="none" w:sz="0" w:space="0" w:color="auto"/>
      </w:divBdr>
    </w:div>
    <w:div w:id="2009096692">
      <w:bodyDiv w:val="1"/>
      <w:marLeft w:val="0"/>
      <w:marRight w:val="0"/>
      <w:marTop w:val="0"/>
      <w:marBottom w:val="0"/>
      <w:divBdr>
        <w:top w:val="none" w:sz="0" w:space="0" w:color="auto"/>
        <w:left w:val="none" w:sz="0" w:space="0" w:color="auto"/>
        <w:bottom w:val="none" w:sz="0" w:space="0" w:color="auto"/>
        <w:right w:val="none" w:sz="0" w:space="0" w:color="auto"/>
      </w:divBdr>
    </w:div>
    <w:div w:id="2038508516">
      <w:bodyDiv w:val="1"/>
      <w:marLeft w:val="0"/>
      <w:marRight w:val="0"/>
      <w:marTop w:val="0"/>
      <w:marBottom w:val="0"/>
      <w:divBdr>
        <w:top w:val="none" w:sz="0" w:space="0" w:color="auto"/>
        <w:left w:val="none" w:sz="0" w:space="0" w:color="auto"/>
        <w:bottom w:val="none" w:sz="0" w:space="0" w:color="auto"/>
        <w:right w:val="none" w:sz="0" w:space="0" w:color="auto"/>
      </w:divBdr>
    </w:div>
    <w:div w:id="2039233675">
      <w:bodyDiv w:val="1"/>
      <w:marLeft w:val="0"/>
      <w:marRight w:val="0"/>
      <w:marTop w:val="0"/>
      <w:marBottom w:val="0"/>
      <w:divBdr>
        <w:top w:val="none" w:sz="0" w:space="0" w:color="auto"/>
        <w:left w:val="none" w:sz="0" w:space="0" w:color="auto"/>
        <w:bottom w:val="none" w:sz="0" w:space="0" w:color="auto"/>
        <w:right w:val="none" w:sz="0" w:space="0" w:color="auto"/>
      </w:divBdr>
    </w:div>
    <w:div w:id="2054234681">
      <w:bodyDiv w:val="1"/>
      <w:marLeft w:val="0"/>
      <w:marRight w:val="0"/>
      <w:marTop w:val="0"/>
      <w:marBottom w:val="0"/>
      <w:divBdr>
        <w:top w:val="none" w:sz="0" w:space="0" w:color="auto"/>
        <w:left w:val="none" w:sz="0" w:space="0" w:color="auto"/>
        <w:bottom w:val="none" w:sz="0" w:space="0" w:color="auto"/>
        <w:right w:val="none" w:sz="0" w:space="0" w:color="auto"/>
      </w:divBdr>
    </w:div>
    <w:div w:id="2097945489">
      <w:bodyDiv w:val="1"/>
      <w:marLeft w:val="0"/>
      <w:marRight w:val="0"/>
      <w:marTop w:val="0"/>
      <w:marBottom w:val="0"/>
      <w:divBdr>
        <w:top w:val="none" w:sz="0" w:space="0" w:color="auto"/>
        <w:left w:val="none" w:sz="0" w:space="0" w:color="auto"/>
        <w:bottom w:val="none" w:sz="0" w:space="0" w:color="auto"/>
        <w:right w:val="none" w:sz="0" w:space="0" w:color="auto"/>
      </w:divBdr>
    </w:div>
    <w:div w:id="213073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uk.practicallaw.thomsonreuters.com/Document/I293BC9D0C29411E49598A3F15E5C1D3E/View/FullText.html?originationContext=document&amp;transitionType=DocumentItem&amp;contextData=%28sc.Search%29&amp;comp=wl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Force Document" ma:contentTypeID="0x010100F27C9619FA46FE41A4759CAFBE5D734A00E2C4514CB5064343A2E9FEA4F1F27970" ma:contentTypeVersion="16" ma:contentTypeDescription="Create a new document." ma:contentTypeScope="" ma:versionID="f119df90783505e3a140d15410179ed6">
  <xsd:schema xmlns:xsd="http://www.w3.org/2001/XMLSchema" xmlns:xs="http://www.w3.org/2001/XMLSchema" xmlns:p="http://schemas.microsoft.com/office/2006/metadata/properties" xmlns:ns2="318633c1-9360-43bc-8eea-c8827f1c7144" xmlns:ns3="4940655d-3b2d-471a-8637-cb873907f923" targetNamespace="http://schemas.microsoft.com/office/2006/metadata/properties" ma:root="true" ma:fieldsID="272c8c60d03813d1e63b63a85dd6e337" ns2:_="" ns3:_="">
    <xsd:import namespace="318633c1-9360-43bc-8eea-c8827f1c7144"/>
    <xsd:import namespace="4940655d-3b2d-471a-8637-cb873907f923"/>
    <xsd:element name="properties">
      <xsd:complexType>
        <xsd:sequence>
          <xsd:element name="documentManagement">
            <xsd:complexType>
              <xsd:all>
                <xsd:element ref="ns2:_dlc_DocId" minOccurs="0"/>
                <xsd:element ref="ns2:_dlc_DocIdUrl" minOccurs="0"/>
                <xsd:element ref="ns2:_dlc_DocIdPersistId" minOccurs="0"/>
                <xsd:element ref="ns2:b0b7dc7ebb45445ba3ab8b7c57023b95" minOccurs="0"/>
                <xsd:element ref="ns2:TaxCatchAll" minOccurs="0"/>
                <xsd:element ref="ns2:TaxCatchAllLabel" minOccurs="0"/>
                <xsd:element ref="ns2:g17138eb1ae7499dbeec3b30fff57f14"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8633c1-9360-43bc-8eea-c8827f1c71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b0b7dc7ebb45445ba3ab8b7c57023b95" ma:index="11" nillable="true" ma:taxonomy="true" ma:internalName="b0b7dc7ebb45445ba3ab8b7c57023b95" ma:taxonomyFieldName="ForceDepartment" ma:displayName="Department" ma:readOnly="false" ma:default="1;#123|572ec626-36a4-4045-b3e9-e66c50113d8c" ma:fieldId="{b0b7dc7e-bb45-445b-a3ab-8b7c57023b95}" ma:sspId="dd7fb7d7-36ff-43c5-8684-2fe93c3c1dea" ma:termSetId="433ff222-e0ec-464e-9382-66b8eb2f8d5d"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8de43e26-5b0a-4635-8543-5b5dd8144198}" ma:internalName="TaxCatchAll" ma:showField="CatchAllData" ma:web="318633c1-9360-43bc-8eea-c8827f1c714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8de43e26-5b0a-4635-8543-5b5dd8144198}" ma:internalName="TaxCatchAllLabel" ma:readOnly="true" ma:showField="CatchAllDataLabel" ma:web="318633c1-9360-43bc-8eea-c8827f1c7144">
      <xsd:complexType>
        <xsd:complexContent>
          <xsd:extension base="dms:MultiChoiceLookup">
            <xsd:sequence>
              <xsd:element name="Value" type="dms:Lookup" maxOccurs="unbounded" minOccurs="0" nillable="true"/>
            </xsd:sequence>
          </xsd:extension>
        </xsd:complexContent>
      </xsd:complexType>
    </xsd:element>
    <xsd:element name="g17138eb1ae7499dbeec3b30fff57f14" ma:index="15" nillable="true" ma:taxonomy="true" ma:internalName="g17138eb1ae7499dbeec3b30fff57f14" ma:taxonomyFieldName="ForceTagsHC" ma:displayName="Tags (HC)" ma:readOnly="false" ma:fieldId="{017138eb-1ae7-499d-beec-3b30fff57f14}" ma:taxonomyMulti="true" ma:sspId="dd7fb7d7-36ff-43c5-8684-2fe93c3c1dea" ma:termSetId="646e7f34-285d-4888-9daf-31c99e857fc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940655d-3b2d-471a-8637-cb873907f923"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d7fb7d7-36ff-43c5-8684-2fe93c3c1dea"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18633c1-9360-43bc-8eea-c8827f1c7144">
      <Value>1</Value>
    </TaxCatchAll>
    <b0b7dc7ebb45445ba3ab8b7c57023b95 xmlns="318633c1-9360-43bc-8eea-c8827f1c7144">
      <Terms xmlns="http://schemas.microsoft.com/office/infopath/2007/PartnerControls">
        <TermInfo xmlns="http://schemas.microsoft.com/office/infopath/2007/PartnerControls">
          <TermName xmlns="http://schemas.microsoft.com/office/infopath/2007/PartnerControls">123</TermName>
          <TermId xmlns="http://schemas.microsoft.com/office/infopath/2007/PartnerControls">572ec626-36a4-4045-b3e9-e66c50113d8c</TermId>
        </TermInfo>
      </Terms>
    </b0b7dc7ebb45445ba3ab8b7c57023b95>
    <g17138eb1ae7499dbeec3b30fff57f14 xmlns="318633c1-9360-43bc-8eea-c8827f1c7144">
      <Terms xmlns="http://schemas.microsoft.com/office/infopath/2007/PartnerControls"/>
    </g17138eb1ae7499dbeec3b30fff57f14>
    <_dlc_DocId xmlns="318633c1-9360-43bc-8eea-c8827f1c7144">S423WY3JU5P4-905211093-219</_dlc_DocId>
    <_dlc_DocIdUrl xmlns="318633c1-9360-43bc-8eea-c8827f1c7144">
      <Url>https://forcesserip.sharepoint.com/sites/teamhccocowtp/_layouts/15/DocIdRedir.aspx?ID=S423WY3JU5P4-905211093-219</Url>
      <Description>S423WY3JU5P4-905211093-219</Description>
    </_dlc_DocIdUrl>
    <lcf76f155ced4ddcb4097134ff3c332f xmlns="4940655d-3b2d-471a-8637-cb873907f923">
      <Terms xmlns="http://schemas.microsoft.com/office/infopath/2007/PartnerControls"/>
    </lcf76f155ced4ddcb4097134ff3c332f>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302FB-9590-4F30-B266-E17DFB6EA884}">
  <ds:schemaRefs>
    <ds:schemaRef ds:uri="http://schemas.microsoft.com/sharepoint/v3/contenttype/forms"/>
  </ds:schemaRefs>
</ds:datastoreItem>
</file>

<file path=customXml/itemProps2.xml><?xml version="1.0" encoding="utf-8"?>
<ds:datastoreItem xmlns:ds="http://schemas.openxmlformats.org/officeDocument/2006/customXml" ds:itemID="{151D4631-CEEC-4C76-9511-F1F50999F8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8633c1-9360-43bc-8eea-c8827f1c7144"/>
    <ds:schemaRef ds:uri="4940655d-3b2d-471a-8637-cb873907f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23238B-4CA4-4E67-B12F-E6DDC7C74C20}">
  <ds:schemaRefs>
    <ds:schemaRef ds:uri="http://schemas.microsoft.com/office/2006/metadata/properties"/>
    <ds:schemaRef ds:uri="http://schemas.microsoft.com/office/infopath/2007/PartnerControls"/>
    <ds:schemaRef ds:uri="318633c1-9360-43bc-8eea-c8827f1c7144"/>
    <ds:schemaRef ds:uri="4940655d-3b2d-471a-8637-cb873907f923"/>
  </ds:schemaRefs>
</ds:datastoreItem>
</file>

<file path=customXml/itemProps4.xml><?xml version="1.0" encoding="utf-8"?>
<ds:datastoreItem xmlns:ds="http://schemas.openxmlformats.org/officeDocument/2006/customXml" ds:itemID="{665DAD9D-FF06-4FE4-B718-D704FC8D747F}">
  <ds:schemaRefs>
    <ds:schemaRef ds:uri="http://schemas.microsoft.com/sharepoint/events"/>
  </ds:schemaRefs>
</ds:datastoreItem>
</file>

<file path=customXml/itemProps5.xml><?xml version="1.0" encoding="utf-8"?>
<ds:datastoreItem xmlns:ds="http://schemas.openxmlformats.org/officeDocument/2006/customXml" ds:itemID="{F276F5D6-8674-404F-9281-7AFC17289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24</Pages>
  <Words>8943</Words>
  <Characters>50976</Characters>
  <Application>Microsoft Office Word</Application>
  <DocSecurity>8</DocSecurity>
  <Lines>424</Lines>
  <Paragraphs>119</Paragraphs>
  <ScaleCrop>false</ScaleCrop>
  <HeadingPairs>
    <vt:vector size="2" baseType="variant">
      <vt:variant>
        <vt:lpstr>Title</vt:lpstr>
      </vt:variant>
      <vt:variant>
        <vt:i4>1</vt:i4>
      </vt:variant>
    </vt:vector>
  </HeadingPairs>
  <TitlesOfParts>
    <vt:vector size="1" baseType="lpstr">
      <vt:lpstr>Directorate of Legal Services</vt:lpstr>
    </vt:vector>
  </TitlesOfParts>
  <Company>MPS</Company>
  <LinksUpToDate>false</LinksUpToDate>
  <CharactersWithSpaces>59800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Directorate of Legal Services</dc:title>
  <dc:subject/>
  <dc:creator>Scott.Lloyd@south-wales.police.uk</dc:creator>
  <cp:keywords/>
  <dc:description/>
  <cp:lastModifiedBy>Ian Sainsbury (11363)</cp:lastModifiedBy>
  <cp:revision>4</cp:revision>
  <cp:lastPrinted>2020-02-10T11:29:00Z</cp:lastPrinted>
  <dcterms:created xsi:type="dcterms:W3CDTF">2026-08-19T12:20:00Z</dcterms:created>
  <dcterms:modified xsi:type="dcterms:W3CDTF">2026-08-19T15:15:00Z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0x010100F27C9619FA46FE41A4759CAFBE5D734A00E2C4514CB5064343A2E9FEA4F1F27970</vt:lpwstr>
  </property>
  <property fmtid="{D5CDD505-2E9C-101B-9397-08002B2CF9AE}" pid="3" name="MSIP_Label_66cf8fe5-b7b7-4df7-b38d-1c61ac2f6639_Enabled">
    <vt:lpwstr>true</vt:lpwstr>
  </property>
  <property fmtid="{D5CDD505-2E9C-101B-9397-08002B2CF9AE}" pid="4" name="MSIP_Label_66cf8fe5-b7b7-4df7-b38d-1c61ac2f6639_SetDate">
    <vt:lpwstr>2021-03-22T09:28:15Z</vt:lpwstr>
  </property>
  <property fmtid="{D5CDD505-2E9C-101B-9397-08002B2CF9AE}" pid="5" name="MSIP_Label_66cf8fe5-b7b7-4df7-b38d-1c61ac2f6639_Method">
    <vt:lpwstr>Standard</vt:lpwstr>
  </property>
  <property fmtid="{D5CDD505-2E9C-101B-9397-08002B2CF9AE}" pid="6" name="MSIP_Label_66cf8fe5-b7b7-4df7-b38d-1c61ac2f6639_Name">
    <vt:lpwstr>66cf8fe5-b7b7-4df7-b38d-1c61ac2f6639</vt:lpwstr>
  </property>
  <property fmtid="{D5CDD505-2E9C-101B-9397-08002B2CF9AE}" pid="7" name="MSIP_Label_66cf8fe5-b7b7-4df7-b38d-1c61ac2f6639_SiteId">
    <vt:lpwstr>270c2f4d-fd0c-4f08-92a9-e5bdd8a87e09</vt:lpwstr>
  </property>
  <property fmtid="{D5CDD505-2E9C-101B-9397-08002B2CF9AE}" pid="8" name="MSIP_Label_66cf8fe5-b7b7-4df7-b38d-1c61ac2f6639_ActionId">
    <vt:lpwstr>98be7d10-7992-452f-88b4-6f7250ff6311</vt:lpwstr>
  </property>
  <property fmtid="{D5CDD505-2E9C-101B-9397-08002B2CF9AE}" pid="9" name="MSIP_Label_66cf8fe5-b7b7-4df7-b38d-1c61ac2f6639_ContentBits">
    <vt:lpwstr>0</vt:lpwstr>
  </property>
  <property fmtid="{D5CDD505-2E9C-101B-9397-08002B2CF9AE}" pid="10" name="MSIP_Label_8f716d1d-13e1-4569-9dd0-bef6621415c1_Enabled">
    <vt:lpwstr>true</vt:lpwstr>
  </property>
  <property fmtid="{D5CDD505-2E9C-101B-9397-08002B2CF9AE}" pid="11" name="MSIP_Label_8f716d1d-13e1-4569-9dd0-bef6621415c1_SetDate">
    <vt:lpwstr>2023-10-05T08:37:05Z</vt:lpwstr>
  </property>
  <property fmtid="{D5CDD505-2E9C-101B-9397-08002B2CF9AE}" pid="12" name="MSIP_Label_8f716d1d-13e1-4569-9dd0-bef6621415c1_Method">
    <vt:lpwstr>Standard</vt:lpwstr>
  </property>
  <property fmtid="{D5CDD505-2E9C-101B-9397-08002B2CF9AE}" pid="13" name="MSIP_Label_8f716d1d-13e1-4569-9dd0-bef6621415c1_Name">
    <vt:lpwstr>OFFICIAL</vt:lpwstr>
  </property>
  <property fmtid="{D5CDD505-2E9C-101B-9397-08002B2CF9AE}" pid="14" name="MSIP_Label_8f716d1d-13e1-4569-9dd0-bef6621415c1_SiteId">
    <vt:lpwstr>f31b07f0-9cf9-40db-964d-6ff986a97e3d</vt:lpwstr>
  </property>
  <property fmtid="{D5CDD505-2E9C-101B-9397-08002B2CF9AE}" pid="15" name="MSIP_Label_8f716d1d-13e1-4569-9dd0-bef6621415c1_ActionId">
    <vt:lpwstr>9b726957-b69b-4f2c-9681-52cf259d80af</vt:lpwstr>
  </property>
  <property fmtid="{D5CDD505-2E9C-101B-9397-08002B2CF9AE}" pid="16" name="MSIP_Label_8f716d1d-13e1-4569-9dd0-bef6621415c1_ContentBits">
    <vt:lpwstr>0</vt:lpwstr>
  </property>
  <property fmtid="{D5CDD505-2E9C-101B-9397-08002B2CF9AE}" pid="17" name="Order">
    <vt:r8>7330300</vt:r8>
  </property>
  <property fmtid="{D5CDD505-2E9C-101B-9397-08002B2CF9AE}" pid="18" name="xd_Signature">
    <vt:bool>false</vt:bool>
  </property>
  <property fmtid="{D5CDD505-2E9C-101B-9397-08002B2CF9AE}" pid="19" name="ForceDepartment">
    <vt:lpwstr>1;#123|572ec626-36a4-4045-b3e9-e66c50113d8c</vt:lpwstr>
  </property>
  <property fmtid="{D5CDD505-2E9C-101B-9397-08002B2CF9AE}" pid="20" name="be506d9d703a4b68a711e99cc73a3374">
    <vt:lpwstr>Not Configured|90a4fcf1-3187-4dd1-9db6-ba3873586959</vt:lpwstr>
  </property>
  <property fmtid="{D5CDD505-2E9C-101B-9397-08002B2CF9AE}" pid="21" name="xd_ProgID">
    <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TriggerFlowInfo">
    <vt:lpwstr/>
  </property>
  <property fmtid="{D5CDD505-2E9C-101B-9397-08002B2CF9AE}" pid="26" name="ForceTagsHC">
    <vt:lpwstr/>
  </property>
  <property fmtid="{D5CDD505-2E9C-101B-9397-08002B2CF9AE}" pid="27" name="_dlc_DocIdItemGuid">
    <vt:lpwstr>08cdd237-bd2c-4c9e-b050-d26cb02025e9</vt:lpwstr>
  </property>
  <property fmtid="{D5CDD505-2E9C-101B-9397-08002B2CF9AE}" pid="28" name="MediaServiceImageTags">
    <vt:lpwstr/>
  </property>
</Properties>
</file>